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0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20" w:lineRule="exact" w:before="362" w:after="0"/>
        <w:ind w:left="0" w:right="37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8" w:lineRule="auto" w:before="488" w:after="0"/>
        <w:ind w:left="0" w:right="21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UnV FOUNDATION (INCORPORATION)</w:t>
      </w:r>
    </w:p>
    <w:p>
      <w:pPr>
        <w:autoSpaceDN w:val="0"/>
        <w:autoSpaceDE w:val="0"/>
        <w:widowControl/>
        <w:spacing w:line="238" w:lineRule="auto" w:before="10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UnV Foundation</w:t>
      </w:r>
    </w:p>
    <w:p>
      <w:pPr>
        <w:autoSpaceDN w:val="0"/>
        <w:autoSpaceDE w:val="0"/>
        <w:widowControl/>
        <w:spacing w:line="320" w:lineRule="exact" w:before="188" w:after="0"/>
        <w:ind w:left="0" w:right="37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190" w:after="0"/>
        <w:ind w:left="2736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Velu Kumar, M.P.  for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Kandy District on  07th of October, 2021</w:t>
      </w:r>
    </w:p>
    <w:p>
      <w:pPr>
        <w:autoSpaceDN w:val="0"/>
        <w:autoSpaceDE w:val="0"/>
        <w:widowControl/>
        <w:spacing w:line="235" w:lineRule="auto" w:before="266" w:after="0"/>
        <w:ind w:left="0" w:right="2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02, 2021)</w:t>
      </w:r>
    </w:p>
    <w:p>
      <w:pPr>
        <w:autoSpaceDN w:val="0"/>
        <w:autoSpaceDE w:val="0"/>
        <w:widowControl/>
        <w:spacing w:line="238" w:lineRule="auto" w:before="330" w:after="0"/>
        <w:ind w:left="0" w:right="29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320" w:lineRule="exact" w:before="244" w:after="0"/>
        <w:ind w:left="0" w:right="37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5" w:lineRule="auto" w:before="1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79]</w:t>
      </w:r>
    </w:p>
    <w:p>
      <w:pPr>
        <w:autoSpaceDN w:val="0"/>
        <w:autoSpaceDE w:val="0"/>
        <w:widowControl/>
        <w:spacing w:line="245" w:lineRule="auto" w:before="7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28" w:after="0"/>
        <w:ind w:left="14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UnV  Foundation (Incorporation)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0" w:right="31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V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7" w:lineRule="auto" w:before="276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“UnV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connected  with the said Foundation, 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7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7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UnV Foundation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“UnV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UnV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Foundation” (hereinafter referred to as the “Foundation”)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hereafter be admitted as members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corporate,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“Corporation”) with perpetual succession,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name and style of   “UnV Foundation” and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 in all courts,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 use a common seal and  alter the same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96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improve the education of children;</w:t>
      </w:r>
    </w:p>
    <w:p>
      <w:pPr>
        <w:autoSpaceDN w:val="0"/>
        <w:autoSpaceDE w:val="0"/>
        <w:widowControl/>
        <w:spacing w:line="235" w:lineRule="auto" w:before="294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peace among communities;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UnV  Foundation (Incorporation)</w:t>
      </w:r>
    </w:p>
    <w:p>
      <w:pPr>
        <w:autoSpaceDN w:val="0"/>
        <w:autoSpaceDE w:val="0"/>
        <w:widowControl/>
        <w:spacing w:line="238" w:lineRule="auto" w:before="510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participate in the development of the country;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advise and assist all communities in Sri Lanka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live in peace and harmony;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4" w:lineRule="auto" w:before="3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organizing and conducting a separate unit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Welfare, Economic Development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Educational Improvement of Ladies;</w:t>
      </w:r>
    </w:p>
    <w:p>
      <w:pPr>
        <w:autoSpaceDN w:val="0"/>
        <w:autoSpaceDE w:val="0"/>
        <w:widowControl/>
        <w:spacing w:line="264" w:lineRule="auto" w:before="302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development of educational, religious,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cultural, aesthetic and sports facilities without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reference to race, religion or cast and to provide with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4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adequate funds and implemention of food schemes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state and private orphanages;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2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stop proliferation of drug menace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rehabilitate drug addicts;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3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fishermen and farmers to be provided with the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equipment to develop the industry;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2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 youth to be provided financial assistance for self-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6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securing and maintenance of 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cultural ethics;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302" w:after="224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or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when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Corporation, be administered by a Board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consisting of a Chairman, Deputy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another eleven members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UnV 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shall be Chairman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for life and thereafter, the family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was holding office as the Chairman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>the next Chairman of the Board of Directors.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 the  Corporation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Administration of the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20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whatsoever,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 with or without security, to erect any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structure on any land held by the Corporation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engage, employ and dismiss officers and servants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 from time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present and voting,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inconsistence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any other written law, for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5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observed for the summoning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Corporation and of 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251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Directors, the quorum for such meeting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exercise and performance of their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UnV  Foundation (Incorporation)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power, duties and functions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 required to become a member of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of the Board of Directors;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repealed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20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Institute existing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Corporation, hereby constituted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bequests, donations, subscriptions, contributions, fees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 grants  for and on account of the Corporation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of Directors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immovable,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agreement or testamentary disposition or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UnV 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8" w:after="17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such property shall be held by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this Act, and subject to the rules in force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being of the Corporation, with full power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17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of Directors of the Corporation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proper accounts to be kept of all moneys reveived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by the Corporation.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7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autoSpaceDN w:val="0"/>
        <w:autoSpaceDE w:val="0"/>
        <w:widowControl/>
        <w:spacing w:line="245" w:lineRule="auto" w:before="238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>and audited at least once in every year by an auditor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auditors appointed by the Board of Directors.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persons as may be provided for in the rules in </w:t>
      </w:r>
      <w:r>
        <w:rPr>
          <w:rFonts w:ascii="Times" w:hAnsi="Times" w:eastAsia="Times"/>
          <w:b w:val="0"/>
          <w:i w:val="0"/>
          <w:color w:val="221F1F"/>
          <w:sz w:val="20"/>
        </w:rPr>
        <w:t>force for the time being of the Corporation, who shall sign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names to the instrument in token of their presence,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signing shall be independent of the signing of any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 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40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4"/>
        <w:ind w:left="0" w:right="1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594"/>
        </w:trPr>
        <w:tc>
          <w:tcPr>
            <w:tcW w:type="dxa" w:w="9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UnV  Foundation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