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06" w:after="0"/>
        <w:ind w:left="1584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YOUTHFUL OFFENDERS (TRAINING SCHOOLS) </w:t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29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394" w:after="0"/>
        <w:ind w:left="2160" w:right="230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amend the Youthful Offenders (Training Schools)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Ordinance (Chapter 25)</w:t>
      </w:r>
    </w:p>
    <w:p>
      <w:pPr>
        <w:autoSpaceDN w:val="0"/>
        <w:autoSpaceDE w:val="0"/>
        <w:widowControl/>
        <w:spacing w:line="235" w:lineRule="auto" w:before="248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4" w:lineRule="exact" w:before="154" w:after="0"/>
        <w:ind w:left="19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Minister of Justice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07th of October, 2021</w:t>
      </w:r>
    </w:p>
    <w:p>
      <w:pPr>
        <w:autoSpaceDN w:val="0"/>
        <w:autoSpaceDE w:val="0"/>
        <w:widowControl/>
        <w:spacing w:line="238" w:lineRule="auto" w:before="244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10, 2021)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6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77]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14"/>
        <w:ind w:left="0" w:right="0"/>
      </w:pPr>
    </w:p>
    <w:p>
      <w:pPr>
        <w:autoSpaceDN w:val="0"/>
        <w:tabs>
          <w:tab w:pos="1664" w:val="left"/>
          <w:tab w:pos="3330" w:val="left"/>
        </w:tabs>
        <w:autoSpaceDE w:val="0"/>
        <w:widowControl/>
        <w:spacing w:line="238" w:lineRule="exact" w:before="0" w:after="0"/>
        <w:ind w:left="1424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STATEMENT OF LEGAL EFFECT </w:t>
      </w:r>
      <w:r>
        <w:br/>
      </w: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2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4 of the Youthful Offenders (Training Schools)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Ordinance (Chapter 25) (hereinafter referred to as the “principal enactment”) and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legal effect of the section as amended is to make the provisions of the Ordinance gender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neutral.</w:t>
      </w:r>
    </w:p>
    <w:p>
      <w:pPr>
        <w:autoSpaceDN w:val="0"/>
        <w:tabs>
          <w:tab w:pos="1664" w:val="left"/>
        </w:tabs>
        <w:autoSpaceDE w:val="0"/>
        <w:widowControl/>
        <w:spacing w:line="190" w:lineRule="exact" w:before="214" w:after="0"/>
        <w:ind w:left="1424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3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5 of the principal enactment and the legal effect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of the section as amended is to make the provisions of the Ordinance gender neutral.</w:t>
      </w:r>
    </w:p>
    <w:p>
      <w:pPr>
        <w:autoSpaceDN w:val="0"/>
        <w:autoSpaceDE w:val="0"/>
        <w:widowControl/>
        <w:spacing w:line="196" w:lineRule="exact" w:before="206" w:after="0"/>
        <w:ind w:left="1424" w:right="1354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4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16 of the principal enactment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redefine the expression “youthful person” as a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person who has attained the age of eighteen years and who has not attained the age of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twenty two years.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3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Youthful Offenders (Training Schools)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9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5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27/2019</w:t>
      </w:r>
    </w:p>
    <w:p>
      <w:pPr>
        <w:autoSpaceDN w:val="0"/>
        <w:autoSpaceDE w:val="0"/>
        <w:widowControl/>
        <w:spacing w:line="247" w:lineRule="auto" w:before="266" w:after="0"/>
        <w:ind w:left="244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Y</w:t>
      </w:r>
      <w:r>
        <w:rPr>
          <w:rFonts w:ascii="Times" w:hAnsi="Times" w:eastAsia="Times"/>
          <w:b w:val="0"/>
          <w:i w:val="0"/>
          <w:color w:val="221F1F"/>
          <w:sz w:val="14"/>
        </w:rPr>
        <w:t>OUTHFUL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FFENDERS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(T</w:t>
      </w:r>
      <w:r>
        <w:rPr>
          <w:rFonts w:ascii="Times" w:hAnsi="Times" w:eastAsia="Times"/>
          <w:b w:val="0"/>
          <w:i w:val="0"/>
          <w:color w:val="221F1F"/>
          <w:sz w:val="14"/>
        </w:rPr>
        <w:t>RAINING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CHOOLS</w:t>
      </w:r>
      <w:r>
        <w:rPr>
          <w:rFonts w:ascii="Times" w:hAnsi="Times" w:eastAsia="Times"/>
          <w:b w:val="0"/>
          <w:i w:val="0"/>
          <w:color w:val="221F1F"/>
          <w:sz w:val="20"/>
        </w:rPr>
        <w:t>)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25)</w:t>
      </w:r>
    </w:p>
    <w:p>
      <w:pPr>
        <w:autoSpaceDN w:val="0"/>
        <w:autoSpaceDE w:val="0"/>
        <w:widowControl/>
        <w:spacing w:line="247" w:lineRule="auto" w:before="264" w:after="18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 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0" w:right="9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Youthful Offenders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(Training Schools) (Amendment)  Act, No.    of 2021 and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come into operation on such date as the Minister may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17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appoint.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8" w:after="0"/>
              <w:ind w:left="0" w:right="96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 of the Youthful Offenders (Training Schools)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(Chapter 25)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Chapter 25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“principal enactment”) is hereby amended in subsection (1)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by the substitution for the words “any male person-”,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0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words “any person-”.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“a male person”, of the words “a person”.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79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repeal of the definition of the expression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16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“youthful person” and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definition:–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2336" w:val="left"/>
          <w:tab w:pos="2696" w:val="left"/>
        </w:tabs>
        <w:autoSpaceDE w:val="0"/>
        <w:widowControl/>
        <w:spacing w:line="252" w:lineRule="auto" w:before="198" w:after="21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““youthful person” means a person who has attained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age of eighteen years and who has not attained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age of twenty two years; and “youthful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offender” has a corresponding meaning.”.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34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3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Youthful Offenders (Training Schools)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3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8980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