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88" w:after="0"/>
        <w:ind w:left="0" w:right="30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October 08, 2021</w:t>
      </w:r>
    </w:p>
    <w:p>
      <w:pPr>
        <w:autoSpaceDN w:val="0"/>
        <w:autoSpaceDE w:val="0"/>
        <w:widowControl/>
        <w:spacing w:line="332" w:lineRule="exact" w:before="244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08.10.2021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2" w:lineRule="exact" w:before="304" w:after="0"/>
        <w:ind w:left="2304" w:right="230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 xml:space="preserve">CODE OF CRIMINAL PROCEDURE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(AMENDMENT)</w:t>
      </w:r>
    </w:p>
    <w:p>
      <w:pPr>
        <w:autoSpaceDN w:val="0"/>
        <w:autoSpaceDE w:val="0"/>
        <w:widowControl/>
        <w:spacing w:line="332" w:lineRule="exact" w:before="192" w:after="0"/>
        <w:ind w:left="0" w:right="43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41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192" w:after="0"/>
        <w:ind w:left="19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44" w:lineRule="exact" w:before="22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autoSpaceDE w:val="0"/>
        <w:widowControl/>
        <w:spacing w:line="235" w:lineRule="auto" w:before="620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342" w:right="1436" w:firstLine="26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the Code of Criminal Procedure Act, No. 15 of 1979 (hereinafter </w:t>
      </w:r>
      <w:r>
        <w:rPr>
          <w:rFonts w:ascii="Times" w:hAnsi="Times" w:eastAsia="Times"/>
          <w:b w:val="0"/>
          <w:i w:val="0"/>
          <w:color w:val="000000"/>
          <w:sz w:val="16"/>
        </w:rPr>
        <w:t>referred to as the “principal enactment”), by inserting new section 144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that Act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amendment is to make provisions to empower the Magistrate to dispense the personal </w:t>
      </w:r>
      <w:r>
        <w:rPr>
          <w:rFonts w:ascii="Times" w:hAnsi="Times" w:eastAsia="Times"/>
          <w:b w:val="0"/>
          <w:i w:val="0"/>
          <w:color w:val="000000"/>
          <w:sz w:val="16"/>
        </w:rPr>
        <w:t>attendance of a suspect or accused in court under the circumstances specified in that section.</w:t>
      </w:r>
    </w:p>
    <w:p>
      <w:pPr>
        <w:autoSpaceDN w:val="0"/>
        <w:tabs>
          <w:tab w:pos="1602" w:val="left"/>
        </w:tabs>
        <w:autoSpaceDE w:val="0"/>
        <w:widowControl/>
        <w:spacing w:line="245" w:lineRule="auto" w:before="21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241 of the principal enactment and is consequential to </w:t>
      </w:r>
      <w:r>
        <w:rPr>
          <w:rFonts w:ascii="Times" w:hAnsi="Times" w:eastAsia="Times"/>
          <w:b w:val="0"/>
          <w:i w:val="0"/>
          <w:color w:val="000000"/>
          <w:sz w:val="16"/>
        </w:rPr>
        <w:t>the amendment made by clause 4.</w:t>
      </w:r>
    </w:p>
    <w:p>
      <w:pPr>
        <w:autoSpaceDN w:val="0"/>
        <w:autoSpaceDE w:val="0"/>
        <w:widowControl/>
        <w:spacing w:line="247" w:lineRule="auto" w:before="212" w:after="0"/>
        <w:ind w:left="1342" w:right="1436" w:firstLine="26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amends the principal enactment, by inserting new section 241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 and the legal effect of the amendment is to make provisions to empower the Judge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High Court to dispense the personal attendance of an accused in court under the circumstances </w:t>
      </w:r>
      <w:r>
        <w:rPr>
          <w:rFonts w:ascii="Times" w:hAnsi="Times" w:eastAsia="Times"/>
          <w:b w:val="0"/>
          <w:i w:val="0"/>
          <w:color w:val="000000"/>
          <w:sz w:val="16"/>
        </w:rPr>
        <w:t>specified in that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 5/2018</w:t>
      </w:r>
    </w:p>
    <w:p>
      <w:pPr>
        <w:autoSpaceDN w:val="0"/>
        <w:autoSpaceDE w:val="0"/>
        <w:widowControl/>
        <w:spacing w:line="257" w:lineRule="auto" w:before="296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RIMINAL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</w:t>
      </w:r>
    </w:p>
    <w:p>
      <w:pPr>
        <w:autoSpaceDN w:val="0"/>
        <w:autoSpaceDE w:val="0"/>
        <w:widowControl/>
        <w:spacing w:line="254" w:lineRule="auto" w:before="296" w:after="1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Code of Criminal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16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Procedure (Amendment) Act, No. 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144 of the Code of Criminal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 Act,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Act, No. 15 of 1979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15 of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“principal enactment”) and shall have effect as section 144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1979</w:t>
            </w:r>
          </w:p>
        </w:tc>
      </w:tr>
    </w:tbl>
    <w:p>
      <w:pPr>
        <w:autoSpaceDN w:val="0"/>
        <w:autoSpaceDE w:val="0"/>
        <w:widowControl/>
        <w:spacing w:line="238" w:lineRule="auto" w:before="18" w:after="13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that Act:-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“Personal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Magistrate may, having regard</w:t>
            </w:r>
          </w:p>
        </w:tc>
      </w:tr>
      <w:tr>
        <w:trPr>
          <w:trHeight w:hRule="exact" w:val="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attendance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provisions of subsection (4), dispense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suspect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personal attendance in court of a</w:t>
            </w:r>
          </w:p>
        </w:tc>
      </w:tr>
      <w:tr>
        <w:trPr>
          <w:trHeight w:hRule="exact" w:val="193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accused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dispensed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suspect or an accused in respect of whom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with,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criminal proceedings have been commenced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such Magistrate, for extending the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circumstances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period of detention or for any other purpose.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69" w:lineRule="auto" w:before="236" w:after="17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(2) The personal attendance of the suspect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accused may be so dispensed with, on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made by the relevant person,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subsection (3), if the Magistrate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the personal attendance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in court may be dispensed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with, on any one or more of the grounds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subsection (4).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7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61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An application under subsection (2),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a suspect or accused, shall be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made by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tabs>
          <w:tab w:pos="3614" w:val="left"/>
        </w:tabs>
        <w:autoSpaceDE w:val="0"/>
        <w:widowControl/>
        <w:spacing w:line="238" w:lineRule="auto" w:before="512" w:after="0"/>
        <w:ind w:left="3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Attorney General;</w:t>
      </w:r>
    </w:p>
    <w:p>
      <w:pPr>
        <w:autoSpaceDN w:val="0"/>
        <w:tabs>
          <w:tab w:pos="3614" w:val="left"/>
          <w:tab w:pos="3622" w:val="left"/>
        </w:tabs>
        <w:autoSpaceDE w:val="0"/>
        <w:widowControl/>
        <w:spacing w:line="278" w:lineRule="auto" w:before="258" w:after="198"/>
        <w:ind w:left="31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suspect or accused himself, or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Attorney- at- Law, as the case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officer in charge of the relevant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police station; or</w:t>
      </w:r>
    </w:p>
    <w:p>
      <w:pPr>
        <w:autoSpaceDN w:val="0"/>
        <w:tabs>
          <w:tab w:pos="3614" w:val="left"/>
          <w:tab w:pos="3622" w:val="left"/>
        </w:tabs>
        <w:autoSpaceDE w:val="0"/>
        <w:widowControl/>
        <w:spacing w:line="278" w:lineRule="auto" w:before="260" w:after="0"/>
        <w:ind w:left="31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Superintendent of the prison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wherein the suspect or accused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detained.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83" w:lineRule="auto" w:before="254" w:after="19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(4) The Magistrate may dispense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attendance of the suspect or accused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on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grounds:-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there is a threat or an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apprehension of serious harm to, the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29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life of the suspect or accused;</w:t>
      </w:r>
    </w:p>
    <w:p>
      <w:pPr>
        <w:autoSpaceDN w:val="0"/>
        <w:tabs>
          <w:tab w:pos="3614" w:val="left"/>
          <w:tab w:pos="3622" w:val="left"/>
        </w:tabs>
        <w:autoSpaceDE w:val="0"/>
        <w:widowControl/>
        <w:spacing w:line="278" w:lineRule="auto" w:before="256" w:after="30"/>
        <w:ind w:left="31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public reaction to the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alleged to have been committed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suspect or accused is likely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give rise to a breach of the peace;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there is a likelihood of the</w:t>
            </w:r>
          </w:p>
        </w:tc>
      </w:tr>
    </w:tbl>
    <w:p>
      <w:pPr>
        <w:autoSpaceDN w:val="0"/>
        <w:autoSpaceDE w:val="0"/>
        <w:widowControl/>
        <w:spacing w:line="278" w:lineRule="auto" w:before="30" w:after="196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escaping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detention or being involuntarily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removed from detention;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there is a likelihood of the</w:t>
            </w:r>
          </w:p>
        </w:tc>
      </w:tr>
    </w:tbl>
    <w:p>
      <w:pPr>
        <w:autoSpaceDN w:val="0"/>
        <w:autoSpaceDE w:val="0"/>
        <w:widowControl/>
        <w:spacing w:line="269" w:lineRule="auto" w:before="12" w:after="0"/>
        <w:ind w:left="36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obstructing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proceedings of court;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266" w:val="left"/>
          <w:tab w:pos="3708" w:val="left"/>
          <w:tab w:pos="3716" w:val="left"/>
        </w:tabs>
        <w:autoSpaceDE w:val="0"/>
        <w:widowControl/>
        <w:spacing w:line="266" w:lineRule="auto" w:before="49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suspect or accused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subjected to a state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quarantine under any written law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to prevent the spread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infectious or contagious disease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dangerous to life;</w:t>
      </w:r>
    </w:p>
    <w:p>
      <w:pPr>
        <w:autoSpaceDN w:val="0"/>
        <w:tabs>
          <w:tab w:pos="3296" w:val="left"/>
          <w:tab w:pos="3708" w:val="left"/>
          <w:tab w:pos="3716" w:val="left"/>
          <w:tab w:pos="4936" w:val="left"/>
          <w:tab w:pos="5530" w:val="left"/>
        </w:tabs>
        <w:autoSpaceDE w:val="0"/>
        <w:widowControl/>
        <w:spacing w:line="269" w:lineRule="auto" w:before="23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personal attendance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an accused who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compulsory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in terms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any written law causes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interruption to the rehabilitation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 of such suspect or accused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purpose of the attendance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suspect or accused is to extend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period of detention; or</w:t>
      </w:r>
    </w:p>
    <w:p>
      <w:pPr>
        <w:autoSpaceDN w:val="0"/>
        <w:tabs>
          <w:tab w:pos="3252" w:val="left"/>
          <w:tab w:pos="3708" w:val="left"/>
          <w:tab w:pos="3716" w:val="left"/>
        </w:tabs>
        <w:autoSpaceDE w:val="0"/>
        <w:widowControl/>
        <w:spacing w:line="266" w:lineRule="auto" w:before="23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personal attendance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is likely to 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threat to the public safety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health due to a pandemic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situation prevailing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 being: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66" w:lineRule="auto" w:before="23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the Magistrate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opinion that a ground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(4) has ceased to exist, he may direct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personal attendance of the suspect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court and enforce his attendance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manner hereinbefore provided.</w:t>
      </w:r>
    </w:p>
    <w:p>
      <w:pPr>
        <w:autoSpaceDN w:val="0"/>
        <w:autoSpaceDE w:val="0"/>
        <w:widowControl/>
        <w:spacing w:line="238" w:lineRule="auto" w:before="234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(5) Where a Magistrate dispenses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personal attendance of a suspect or an accused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court, under subsection (1), the reasons for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8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 shall be recorded in writing and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suspect or accused shall–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tabs>
          <w:tab w:pos="3622" w:val="left"/>
        </w:tabs>
        <w:autoSpaceDE w:val="0"/>
        <w:widowControl/>
        <w:spacing w:line="266" w:lineRule="auto" w:before="510" w:after="198"/>
        <w:ind w:left="31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the right to be represented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 by an Attorney-at-Law;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1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permitted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</w:t>
            </w:r>
          </w:p>
        </w:tc>
      </w:tr>
    </w:tbl>
    <w:p>
      <w:pPr>
        <w:autoSpaceDN w:val="0"/>
        <w:tabs>
          <w:tab w:pos="3622" w:val="left"/>
        </w:tabs>
        <w:autoSpaceDE w:val="0"/>
        <w:widowControl/>
        <w:spacing w:line="286" w:lineRule="auto" w:before="28" w:after="0"/>
        <w:ind w:left="140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representation and to observe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instituted by, on 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of, or relating to such suspect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through contemporaneous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near contemporaneous audio-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visual linkage.</w:t>
      </w:r>
    </w:p>
    <w:p>
      <w:pPr>
        <w:autoSpaceDN w:val="0"/>
        <w:tabs>
          <w:tab w:pos="2764" w:val="left"/>
          <w:tab w:pos="3004" w:val="left"/>
        </w:tabs>
        <w:autoSpaceDE w:val="0"/>
        <w:widowControl/>
        <w:spacing w:line="288" w:lineRule="auto" w:before="25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Registrar of the Magistrate’s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shall make necessary arrangements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to facilitate the suspect or accused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his representation and to observe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in accordance with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(5).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90" w:lineRule="auto" w:before="24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Superintendent of the prison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wherein such suspect or accused is detained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officer-in-charge of the place of detention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wherein such person is detained, shall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Registrar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Magistrate’s Court provide necessary facilities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suspect or accused being detained,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his representation and to observe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proceedings of the Court as referred to in</w:t>
      </w:r>
    </w:p>
    <w:p>
      <w:pPr>
        <w:autoSpaceDN w:val="0"/>
        <w:tabs>
          <w:tab w:pos="2784" w:val="left"/>
        </w:tabs>
        <w:autoSpaceDE w:val="0"/>
        <w:widowControl/>
        <w:spacing w:line="266" w:lineRule="auto" w:before="58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81" w:lineRule="auto" w:before="226" w:after="0"/>
        <w:ind w:left="278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For the purpose of this subsection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“place of detention” means any detention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facility within the meaning of any written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shall include any Quarantine Centre within</w:t>
      </w:r>
    </w:p>
    <w:p>
      <w:pPr>
        <w:autoSpaceDN w:val="0"/>
        <w:tabs>
          <w:tab w:pos="2784" w:val="left"/>
        </w:tabs>
        <w:autoSpaceDE w:val="0"/>
        <w:widowControl/>
        <w:spacing w:line="266" w:lineRule="auto" w:before="58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meaning of the Quarantine and Prevention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878" w:val="left"/>
        </w:tabs>
        <w:autoSpaceDE w:val="0"/>
        <w:widowControl/>
        <w:spacing w:line="262" w:lineRule="auto" w:before="494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Diseases Ordinance (Chapter 222) and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Treatment and Rehabilitation Centre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meaning of the Drug Dependent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(Treatment and Rehabilitation) Act, No. 54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2007.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6" w:lineRule="auto" w:before="23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Where the place of detention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is within the judicial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 of the Magistrate who dispensed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personal attendance of such suspect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court, such Magistrate shall 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place of detention not later than forty-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eight hours of calling the case, and shall look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the well-being of the suspect or accused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 detained.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6" w:lineRule="auto" w:before="230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Where the place of detention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is situated outside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judicial division of the Magistrate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dispensed with the personal attendance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in court, it shall be the duty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Magistrate to forthwith communicate,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prescribed Form, with the Magistrate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jurisdiction over the relevant judicial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 and request him to visit the place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detention of the suspect or accused,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referred to in subsection (7).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6" w:lineRule="auto" w:before="23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Where the Magistrate within whose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judicial division the place of detention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is situated, is unable to 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place of detention, it shall be the duty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Magistrate to forthwith communicate,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prescribed Form, with any other Magistrate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request him to visit the place of detention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suspect or accused for the purpose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(7).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64" w:lineRule="auto" w:before="496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Any Magistrate who has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communicated with under subsection (8) or (9)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visit the place of detention of the suspect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accused not later than forty- eight hours of</w:t>
      </w:r>
    </w:p>
    <w:p>
      <w:pPr>
        <w:autoSpaceDN w:val="0"/>
        <w:tabs>
          <w:tab w:pos="1428" w:val="left"/>
          <w:tab w:pos="2782" w:val="left"/>
          <w:tab w:pos="2784" w:val="left"/>
        </w:tabs>
        <w:autoSpaceDE w:val="0"/>
        <w:widowControl/>
        <w:spacing w:line="271" w:lineRule="auto" w:before="3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receipt of the Form calling on him 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place, and report back in writing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week of such visit to the Magistrate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dispensed with the personal attendance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accused, of such visit in the Form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prescribed in that behalf.</w:t>
      </w:r>
    </w:p>
    <w:p>
      <w:pPr>
        <w:autoSpaceDN w:val="0"/>
        <w:autoSpaceDE w:val="0"/>
        <w:widowControl/>
        <w:spacing w:line="264" w:lineRule="auto" w:before="218" w:after="16"/>
        <w:ind w:left="278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It shall be the duty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Superintendent of a prison to produce any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so detained, before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Magistrate who visits the prison in terms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6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subsection (7), (8) or (9)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 such Magistrate with the facilities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8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required by him.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6" w:lineRule="auto" w:before="234" w:after="176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(12) Where a Magistrate visits a prison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look into the well-being of a suspect or accused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the provisions of subsection (7), 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(9), an Attorney-at-Law who represents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shall be permitted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present at the time of such visit.”.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241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241 of the</w:t>
            </w:r>
          </w:p>
        </w:tc>
      </w:tr>
    </w:tbl>
    <w:p>
      <w:pPr>
        <w:autoSpaceDN w:val="0"/>
        <w:tabs>
          <w:tab w:pos="2424" w:val="left"/>
          <w:tab w:pos="2442" w:val="left"/>
          <w:tab w:pos="6642" w:val="left"/>
        </w:tabs>
        <w:autoSpaceDE w:val="0"/>
        <w:widowControl/>
        <w:spacing w:line="262" w:lineRule="auto" w:before="6" w:after="176"/>
        <w:ind w:left="201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thereof,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“to serve indictment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him.” of the words “ to serve indictment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him; or”;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(1) of the following new paragraph:–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998" w:val="left"/>
        </w:tabs>
        <w:autoSpaceDE w:val="0"/>
        <w:widowControl/>
        <w:spacing w:line="271" w:lineRule="auto" w:before="502" w:after="18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personal attendance of such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court shall be dispensed with having regard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provisions of section 241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1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241 of the principal enactment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241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3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“Personal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Judge of the High Court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76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attendance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accused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presiding at the sessions of the High Court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judicial zone may having regard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62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dispensed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with,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special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provisions of subsection (4), dispense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personal attendance in court of 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circumstances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accused in respect of whom the trial,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pending,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2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has been commenced, with or without a jury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before such Court.</w:t>
      </w:r>
    </w:p>
    <w:p>
      <w:pPr>
        <w:autoSpaceDN w:val="0"/>
        <w:tabs>
          <w:tab w:pos="2858" w:val="left"/>
          <w:tab w:pos="3098" w:val="left"/>
        </w:tabs>
        <w:autoSpaceDE w:val="0"/>
        <w:widowControl/>
        <w:spacing w:line="278" w:lineRule="auto" w:before="248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personal attendance of the accused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so dispensed with, on an application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the relevant person, as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(3), if the Judge is satisfied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attendance of such accused in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dispensed with, on any one or more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grounds specified in subsection (4).</w:t>
      </w:r>
    </w:p>
    <w:p>
      <w:pPr>
        <w:autoSpaceDN w:val="0"/>
        <w:tabs>
          <w:tab w:pos="3098" w:val="left"/>
        </w:tabs>
        <w:autoSpaceDE w:val="0"/>
        <w:widowControl/>
        <w:spacing w:line="262" w:lineRule="auto" w:before="246" w:after="188"/>
        <w:ind w:left="28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application under subsection (2),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respect of an accused, shall be made by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8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Attorney General;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accused himself, or his</w:t>
            </w:r>
          </w:p>
        </w:tc>
      </w:tr>
    </w:tbl>
    <w:p>
      <w:pPr>
        <w:autoSpaceDN w:val="0"/>
        <w:autoSpaceDE w:val="0"/>
        <w:widowControl/>
        <w:spacing w:line="264" w:lineRule="auto" w:before="10" w:after="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Attorney- at- Law, as the case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be; or</w:t>
      </w:r>
    </w:p>
    <w:p>
      <w:pPr>
        <w:autoSpaceDN w:val="0"/>
        <w:tabs>
          <w:tab w:pos="3718" w:val="left"/>
        </w:tabs>
        <w:autoSpaceDE w:val="0"/>
        <w:widowControl/>
        <w:spacing w:line="262" w:lineRule="auto" w:before="246" w:after="0"/>
        <w:ind w:left="33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Superintendent of the prison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wherein the accused is detained.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59" w:lineRule="auto" w:before="490" w:after="168"/>
        <w:ind w:left="276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Judge may dispense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attendance of the accused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on the following grounds:–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8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there is a threat or an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apprehension of serious harm to, the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8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life of the accused;</w:t>
      </w:r>
    </w:p>
    <w:p>
      <w:pPr>
        <w:autoSpaceDN w:val="0"/>
        <w:tabs>
          <w:tab w:pos="3622" w:val="left"/>
        </w:tabs>
        <w:autoSpaceDE w:val="0"/>
        <w:widowControl/>
        <w:spacing w:line="257" w:lineRule="auto" w:before="230" w:after="12"/>
        <w:ind w:left="31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public reaction to the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alleged to have been committed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accused is likely to give rise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breach of the peace;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there is a likelihood of the</w:t>
            </w:r>
          </w:p>
        </w:tc>
      </w:tr>
    </w:tbl>
    <w:p>
      <w:pPr>
        <w:autoSpaceDN w:val="0"/>
        <w:autoSpaceDE w:val="0"/>
        <w:widowControl/>
        <w:spacing w:line="257" w:lineRule="auto" w:before="14" w:after="170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escaping from detention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involuntarily removed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detention;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there is a likelihood of the</w:t>
            </w:r>
          </w:p>
        </w:tc>
      </w:tr>
    </w:tbl>
    <w:p>
      <w:pPr>
        <w:autoSpaceDN w:val="0"/>
        <w:autoSpaceDE w:val="0"/>
        <w:widowControl/>
        <w:spacing w:line="252" w:lineRule="auto" w:before="2" w:after="168"/>
        <w:ind w:left="36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obstructing the proceedings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accused has been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subjected to a state of quarantine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any written law in order to</w:t>
            </w:r>
          </w:p>
        </w:tc>
      </w:tr>
    </w:tbl>
    <w:p>
      <w:pPr>
        <w:autoSpaceDN w:val="0"/>
        <w:autoSpaceDE w:val="0"/>
        <w:widowControl/>
        <w:spacing w:line="259" w:lineRule="auto" w:before="12" w:after="168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 the spread of an infectious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contagious disease dangerous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life;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personal attendance of the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accused is likely to pose a threat to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68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public safety and health due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pandemic or other similar situation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prevailing for the time being: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62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where the Judge is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opinion that a ground specified in subsection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(4) has ceased to exist, he may direct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4" w:lineRule="auto" w:before="500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attendance of the accused in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enforce his attendance in manner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hereinbefore provided.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71" w:lineRule="auto" w:before="242" w:after="18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 Judge of the High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dispenses with the personal attendance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Court, under subsection (1),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reasons for the same shall be recorded in writing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such accused shall be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8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represented in court by an Attorney-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at- Law; and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permitted to make his representation</w:t>
            </w:r>
          </w:p>
        </w:tc>
      </w:tr>
    </w:tbl>
    <w:p>
      <w:pPr>
        <w:autoSpaceDN w:val="0"/>
        <w:autoSpaceDE w:val="0"/>
        <w:widowControl/>
        <w:spacing w:line="259" w:lineRule="auto" w:before="22" w:after="20"/>
        <w:ind w:left="360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observe the proceedings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instituted by, on behalf of, or relating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5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10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accused 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</w:t>
            </w:r>
          </w:p>
        </w:tc>
      </w:tr>
      <w:tr>
        <w:trPr>
          <w:trHeight w:hRule="exact" w:val="292"/>
        </w:trPr>
        <w:tc>
          <w:tcPr>
            <w:tcW w:type="dxa" w:w="1503"/>
            <w:vMerge/>
            <w:tcBorders/>
          </w:tcPr>
          <w:p/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contemporaneous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near</w:t>
            </w:r>
          </w:p>
        </w:tc>
      </w:tr>
    </w:tbl>
    <w:p>
      <w:pPr>
        <w:autoSpaceDN w:val="0"/>
        <w:autoSpaceDE w:val="0"/>
        <w:widowControl/>
        <w:spacing w:line="257" w:lineRule="auto" w:before="6" w:after="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contemporaneous audio-visual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linkage.</w:t>
      </w:r>
    </w:p>
    <w:p>
      <w:pPr>
        <w:autoSpaceDN w:val="0"/>
        <w:autoSpaceDE w:val="0"/>
        <w:widowControl/>
        <w:spacing w:line="259" w:lineRule="auto" w:before="240" w:after="0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Registrar of the High Court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make necessary arrangements in the Court to</w:t>
      </w:r>
    </w:p>
    <w:p>
      <w:pPr>
        <w:autoSpaceDN w:val="0"/>
        <w:tabs>
          <w:tab w:pos="2878" w:val="left"/>
        </w:tabs>
        <w:autoSpaceDE w:val="0"/>
        <w:widowControl/>
        <w:spacing w:line="264" w:lineRule="auto" w:before="42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facilitate the accused to make his representation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observe the proceedings in accordance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provisions of subsection (5).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76" w:lineRule="auto" w:before="24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Superintendent of the prison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wherein such accused is detained or the officer-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in-charge of the place of detention wherein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is detained, shall in consultation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Registrar of the High Court provide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facilities to such accused 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detained, to make his representation and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observe the proceedings of the Court as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50" w:lineRule="auto" w:before="484" w:after="8"/>
        <w:ind w:left="2782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For the purpose of this subsection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“place of detention” means any detention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facility within the meaning of any written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shall include any Quarantine Centre within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6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meaning of the Quarantine and Prevention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Diseases Ordinance (Chapter 222) and any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Treatment and Rehabilitation Centre 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meaning of the Drug Dependent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(Treatment and Rehabilitation) Act, No. 54 of</w:t>
      </w:r>
    </w:p>
    <w:p>
      <w:pPr>
        <w:autoSpaceDN w:val="0"/>
        <w:tabs>
          <w:tab w:pos="2782" w:val="left"/>
        </w:tabs>
        <w:autoSpaceDE w:val="0"/>
        <w:widowControl/>
        <w:spacing w:line="259" w:lineRule="auto" w:before="18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2007.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2" w:lineRule="auto" w:before="196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Where the place of detention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is within the judicial zone of the Judge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dispensed with the personal attendance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accused in court, such Judge shall visit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place of detention not later than forty-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eight hours of calling the case, and shall look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into the well-being of the accused so detained.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2" w:lineRule="auto" w:before="21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Where the place of detention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is situated outside the judicial zone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Judge who dispensed with the 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attendance of such accused in court, it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duty of such Judge to forthwith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communicate, in the prescribed Form,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Court Judge having jurisdiction over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judicial zone and request him to 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place of detention of the accused,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referred to in subsection (7).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2" w:lineRule="auto" w:before="218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Where the Judge within whose judicial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zone the place of detention of the accused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situated, is unable to visit the place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detention, it shall be the duty of such Judge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communicate, in the prescribed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Form, to any other High Court Judge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him to visit the place of detention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accused for the purpose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(7).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482" w:after="152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Any High Court Judge who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communicated with under subsection (8) or 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visit the place of detention of the accused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later than forty-eight hours of the receipt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Form calling on him to visit such place,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report back in writing within one week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visit to the Judge who dispensed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attendance of the accused,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visit in the Form prescribed in that behalf.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(11) It shall be the duty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Superintendent of a prison to produce any such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so detained, before the Judge who visits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prison in terms of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(7), (8) or (9) and to provide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Judge with the facilities required by him.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Where a Judge visits a prison to look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the well-being of an accused in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subsection (7), (8) or (9),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Attorney-at-Law who represents such accused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permitted to be present at the time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156"/>
        <w:ind w:left="0" w:right="5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visit.”.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6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2"/>
        <w:ind w:left="0" w:right="0"/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0.0" w:type="dxa"/>
      </w:tblPr>
      <w:tblGrid>
        <w:gridCol w:w="4510"/>
        <w:gridCol w:w="4510"/>
      </w:tblGrid>
      <w:tr>
        <w:trPr>
          <w:trHeight w:hRule="exact" w:val="9484"/>
        </w:trPr>
        <w:tc>
          <w:tcPr>
            <w:tcW w:type="dxa" w:w="8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44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