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0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 08,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12.10.2021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44" w:after="0"/>
        <w:ind w:left="193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MINIMUM RETIREMENT AGE OF WORKERS</w:t>
      </w:r>
    </w:p>
    <w:p>
      <w:pPr>
        <w:autoSpaceDN w:val="0"/>
        <w:autoSpaceDE w:val="0"/>
        <w:widowControl/>
        <w:spacing w:line="235" w:lineRule="auto" w:before="41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54" w:lineRule="auto" w:before="482" w:after="0"/>
        <w:ind w:left="1296" w:right="134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minimum retirement age at which an employer may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retire  any  worker  and  for   matters  connected   therewith   or   incidental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thereto.</w:t>
      </w:r>
    </w:p>
    <w:p>
      <w:pPr>
        <w:autoSpaceDN w:val="0"/>
        <w:autoSpaceDE w:val="0"/>
        <w:widowControl/>
        <w:spacing w:line="235" w:lineRule="auto" w:before="280" w:after="0"/>
        <w:ind w:left="0" w:right="24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Labour</w:t>
      </w:r>
    </w:p>
    <w:p>
      <w:pPr>
        <w:autoSpaceDN w:val="0"/>
        <w:autoSpaceDE w:val="0"/>
        <w:widowControl/>
        <w:spacing w:line="245" w:lineRule="auto" w:before="38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27/2021</w:t>
      </w:r>
    </w:p>
    <w:p>
      <w:pPr>
        <w:autoSpaceDN w:val="0"/>
        <w:autoSpaceDE w:val="0"/>
        <w:widowControl/>
        <w:spacing w:line="235" w:lineRule="auto" w:before="2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MINIMUM</w:t>
      </w:r>
      <w:r>
        <w:rPr>
          <w:rFonts w:ascii="Times" w:hAnsi="Times" w:eastAsia="Times"/>
          <w:b w:val="0"/>
          <w:i w:val="0"/>
          <w:color w:val="000000"/>
          <w:sz w:val="14"/>
        </w:rPr>
        <w:t>RETIREMENT</w:t>
      </w:r>
      <w:r>
        <w:rPr>
          <w:rFonts w:ascii="Times" w:hAnsi="Times" w:eastAsia="Times"/>
          <w:b w:val="0"/>
          <w:i w:val="0"/>
          <w:color w:val="000000"/>
          <w:sz w:val="14"/>
        </w:rPr>
        <w:t>AGE</w:t>
      </w:r>
      <w:r>
        <w:rPr>
          <w:rFonts w:ascii="Times" w:hAnsi="Times" w:eastAsia="Times"/>
          <w:b w:val="0"/>
          <w:i w:val="0"/>
          <w:color w:val="000000"/>
          <w:sz w:val="14"/>
        </w:rPr>
        <w:t>AT</w:t>
      </w:r>
      <w:r>
        <w:rPr>
          <w:rFonts w:ascii="Times" w:hAnsi="Times" w:eastAsia="Times"/>
          <w:b w:val="0"/>
          <w:i w:val="0"/>
          <w:color w:val="000000"/>
          <w:sz w:val="14"/>
        </w:rPr>
        <w:t>WHICH</w:t>
      </w:r>
      <w:r>
        <w:rPr>
          <w:rFonts w:ascii="Times" w:hAnsi="Times" w:eastAsia="Times"/>
          <w:b w:val="0"/>
          <w:i w:val="0"/>
          <w:color w:val="000000"/>
          <w:sz w:val="14"/>
        </w:rPr>
        <w:t>AN</w:t>
      </w:r>
    </w:p>
    <w:p>
      <w:pPr>
        <w:autoSpaceDN w:val="0"/>
        <w:autoSpaceDE w:val="0"/>
        <w:widowControl/>
        <w:spacing w:line="238" w:lineRule="auto" w:before="8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EMPLOYER</w:t>
      </w:r>
      <w:r>
        <w:rPr>
          <w:rFonts w:ascii="Times" w:hAnsi="Times" w:eastAsia="Times"/>
          <w:b w:val="0"/>
          <w:i w:val="0"/>
          <w:color w:val="000000"/>
          <w:sz w:val="14"/>
        </w:rPr>
        <w:t>MAY</w:t>
      </w:r>
      <w:r>
        <w:rPr>
          <w:rFonts w:ascii="Times" w:hAnsi="Times" w:eastAsia="Times"/>
          <w:b w:val="0"/>
          <w:i w:val="0"/>
          <w:color w:val="000000"/>
          <w:sz w:val="14"/>
        </w:rPr>
        <w:t>RETIRE</w:t>
      </w:r>
      <w:r>
        <w:rPr>
          <w:rFonts w:ascii="Times" w:hAnsi="Times" w:eastAsia="Times"/>
          <w:b w:val="0"/>
          <w:i w:val="0"/>
          <w:color w:val="000000"/>
          <w:sz w:val="14"/>
        </w:rPr>
        <w:t>ANY</w:t>
      </w:r>
      <w:r>
        <w:rPr>
          <w:rFonts w:ascii="Times" w:hAnsi="Times" w:eastAsia="Times"/>
          <w:b w:val="0"/>
          <w:i w:val="0"/>
          <w:color w:val="000000"/>
          <w:sz w:val="14"/>
        </w:rPr>
        <w:t>WORKER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9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50" w:lineRule="auto" w:before="240" w:after="16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Minimum Retirement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Age of Workers Act, No.   of 2021.</w:t>
      </w:r>
    </w:p>
    <w:p>
      <w:pPr>
        <w:autoSpaceDN w:val="0"/>
        <w:tabs>
          <w:tab w:pos="3876" w:val="left"/>
        </w:tabs>
        <w:autoSpaceDE w:val="0"/>
        <w:widowControl/>
        <w:spacing w:line="250" w:lineRule="auto" w:before="186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1</w:t>
      </w:r>
    </w:p>
    <w:p>
      <w:pPr>
        <w:autoSpaceDN w:val="0"/>
        <w:autoSpaceDE w:val="0"/>
        <w:widowControl/>
        <w:spacing w:line="235" w:lineRule="auto" w:before="170" w:after="126"/>
        <w:ind w:left="0" w:right="3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ETIREMENT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any other written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Minimum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retirement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a contract of service, collective agreement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of contract of service, the minimum retirement age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worker who has not attained the age of fifty two years on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operation of this Act or who is recruited after the date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coming into operation of this Act shall be upon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worker attaining the age of sixty years (hereinafter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the “minimum retirement age”):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7" w:lineRule="auto" w:before="180" w:after="12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minimum retirement age of a worker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has reached the age of fifty two years or above,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coming into operation of this Act, shall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the age as specified in Schedule 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employer who employs fifteen or more workers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Premature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retirement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retire any worker other than the workers specified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Schedule II, and any worker engaged in any trade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occupation as shall be prescribed by regulation, from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time, in keeping with the nature of the work until such </w:t>
      </w:r>
      <w:r>
        <w:rPr>
          <w:rFonts w:ascii="Times" w:hAnsi="Times" w:eastAsia="Times"/>
          <w:b w:val="0"/>
          <w:i w:val="0"/>
          <w:color w:val="000000"/>
          <w:sz w:val="20"/>
        </w:rPr>
        <w:t>worker attains the minimum retirement age: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4" w:lineRule="auto" w:before="18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any employer may prematurely retire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worker in terms of the provisions of the contract of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collective agreement on following grounds:-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being sick;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disciplinary grounds;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closure or the destruction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establishment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96"/>
        <w:ind w:left="0" w:right="4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due to any natural cause;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prior written approval of the Commissioner-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the provisions of the Termination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of Workmen (Special Provisions)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45 of 1971.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employer who has employed fifteen workers or less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on an average within the twelve months period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retirement of any worker.</w:t>
      </w:r>
    </w:p>
    <w:p>
      <w:pPr>
        <w:autoSpaceDN w:val="0"/>
        <w:autoSpaceDE w:val="0"/>
        <w:widowControl/>
        <w:spacing w:line="250" w:lineRule="auto" w:before="272" w:after="20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worker who wishes on his own to vacate his job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the minimum retirement age may on his own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retirement age specified in a contract of service,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 of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collective agreement or any other form of contract of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 &amp; etc.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 into before or on or after the date of operation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contrary to</w:t>
            </w:r>
          </w:p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as less than the minimum retirement age shall subject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 3 be deemed to be void and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 be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minimum retirement age as specified in this Act shall apply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void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thereof.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2" w:after="0"/>
        <w:ind w:left="0" w:right="4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11</w:t>
      </w:r>
    </w:p>
    <w:p>
      <w:pPr>
        <w:autoSpaceDN w:val="0"/>
        <w:autoSpaceDE w:val="0"/>
        <w:widowControl/>
        <w:spacing w:line="238" w:lineRule="auto" w:before="274" w:after="212"/>
        <w:ind w:left="0" w:right="39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OMPLAINTS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NQUIRIES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worker who has been prematurely retired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Complaints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employer other than in the manner specified in subsection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of section 3, may within two months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retirement, complain in writing to the Commissioner-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in respect of such retirement.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premature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retirement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796" w:val="left"/>
          <w:tab w:pos="2036" w:val="left"/>
          <w:tab w:pos="2480" w:val="left"/>
        </w:tabs>
        <w:autoSpaceDE w:val="0"/>
        <w:widowControl/>
        <w:spacing w:line="266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worker has made a complaint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under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shall, conduct an inquiry and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months from the date of receipt of such complaint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final determination on the complaint.</w:t>
      </w:r>
    </w:p>
    <w:p>
      <w:pPr>
        <w:autoSpaceDN w:val="0"/>
        <w:tabs>
          <w:tab w:pos="2036" w:val="left"/>
          <w:tab w:pos="2498" w:val="left"/>
        </w:tabs>
        <w:autoSpaceDE w:val="0"/>
        <w:widowControl/>
        <w:spacing w:line="254" w:lineRule="auto" w:before="28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an inquiry under subsection (2), if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is satisfied that-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complaint made by the worker is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substantiated with supporting evidence, or such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2" w:after="23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premature retirement is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of section 3,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shall dismiss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worker has been prematurely retired by his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employer contrary to the provisions of this Act, the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shall by notice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him to the employer, direct the employer –</w:t>
      </w:r>
    </w:p>
    <w:p>
      <w:pPr>
        <w:autoSpaceDN w:val="0"/>
        <w:autoSpaceDE w:val="0"/>
        <w:widowControl/>
        <w:spacing w:line="254" w:lineRule="auto" w:before="294" w:after="0"/>
        <w:ind w:left="2876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to reinstate such worker from the date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notice, in the same capacity in which the worker</w:t>
      </w:r>
    </w:p>
    <w:p>
      <w:pPr>
        <w:autoSpaceDN w:val="0"/>
        <w:tabs>
          <w:tab w:pos="2876" w:val="left"/>
        </w:tabs>
        <w:autoSpaceDE w:val="0"/>
        <w:widowControl/>
        <w:spacing w:line="259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employed prior to such retirement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him his wages and all other benefits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date of such retirement; or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69" w:lineRule="auto" w:before="29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where the Commissioner-General is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that reinstatement is impractical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closure of the establishment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liquidation process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in which such worker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employed, to pay the worker compensation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formula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as specified in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6D of the Termination of Employment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Minimum Retirement Age of Workers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Workmen (Special Provisions) Act, No.45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1971, based on the last paid wages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 up to the date of closure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or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liquidation of such establishment,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be, in lieu of reinstatement.</w:t>
      </w:r>
    </w:p>
    <w:p>
      <w:pPr>
        <w:autoSpaceDN w:val="0"/>
        <w:tabs>
          <w:tab w:pos="1702" w:val="left"/>
          <w:tab w:pos="1902" w:val="left"/>
          <w:tab w:pos="2344" w:val="left"/>
        </w:tabs>
        <w:autoSpaceDE w:val="0"/>
        <w:widowControl/>
        <w:spacing w:line="26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worker who has prior to coming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 made a complaint in terms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Disputes Act (Chapter 131) or the Termination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of Workmen (Special Provisions) Act, No.45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1971 to the Commissioner-General, a Labour Tribunal,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arbitrator or an  Industrial Court against premature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and a final determination has not been made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complaint by the Commissioner-General, Labour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Tribunal, arbitrator or Industrial Court,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has no power to inquire into a complaint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0" w:after="23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the worker has made a complaint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Industrial Disputes Act (Chapter 131)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of Employment of Workmen (Special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Provisions) Act, No.45 of 1971 against the premature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such worker shall not be entitled to make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employer who is dissatisfied with a decision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made under section 5 may make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Court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Appeal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to the Court of Appeal against such decision,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issue of an Order in the nature of a writ. An employer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makes such application shall furnish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a security in cash, where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which is subject to such application directs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only the payment of a sum of money to the worker,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 amount equal to such sum;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4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the payment of a sum of money to the worker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his reinstatement, of an amount equal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and twelve times the monthly salary or wages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worker that was at the time his contract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 was terminated. In the case of a daily paid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worker, monthly salary or wages shall be twenty-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six times the daily wages of such worker.</w:t>
      </w:r>
    </w:p>
    <w:p>
      <w:pPr>
        <w:autoSpaceDN w:val="0"/>
        <w:tabs>
          <w:tab w:pos="1996" w:val="left"/>
          <w:tab w:pos="2426" w:val="left"/>
        </w:tabs>
        <w:autoSpaceDE w:val="0"/>
        <w:widowControl/>
        <w:spacing w:line="245" w:lineRule="auto" w:before="254" w:after="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of Appeal shall not entertain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issue of an Order in the nature of a writ where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is not accompanied by a certificate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to the effect that the applicant has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furnished the security in cash.</w:t>
      </w:r>
    </w:p>
    <w:p>
      <w:pPr>
        <w:autoSpaceDN w:val="0"/>
        <w:tabs>
          <w:tab w:pos="1996" w:val="left"/>
          <w:tab w:pos="2434" w:val="left"/>
        </w:tabs>
        <w:autoSpaceDE w:val="0"/>
        <w:widowControl/>
        <w:spacing w:line="245" w:lineRule="auto" w:before="254" w:after="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shall cause all monies </w:t>
      </w:r>
      <w:r>
        <w:rPr>
          <w:rFonts w:ascii="Times" w:hAnsi="Times" w:eastAsia="Times"/>
          <w:b w:val="0"/>
          <w:i w:val="0"/>
          <w:color w:val="221F1F"/>
          <w:sz w:val="20"/>
        </w:rPr>
        <w:t>furnished as security under this section, to be deposited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account bearing interest, in any approved bank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Lanka. The security shall be released to the relevant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in terms of the final determination of the Court of </w:t>
      </w:r>
      <w:r>
        <w:rPr>
          <w:rFonts w:ascii="Times" w:hAnsi="Times" w:eastAsia="Times"/>
          <w:b w:val="0"/>
          <w:i w:val="0"/>
          <w:color w:val="221F1F"/>
          <w:sz w:val="20"/>
        </w:rPr>
        <w:t>Appeal or of the Supreme Court, as the case may be.</w:t>
      </w:r>
    </w:p>
    <w:p>
      <w:pPr>
        <w:autoSpaceDN w:val="0"/>
        <w:autoSpaceDE w:val="0"/>
        <w:widowControl/>
        <w:spacing w:line="235" w:lineRule="auto" w:before="25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tabs>
          <w:tab w:pos="2486" w:val="left"/>
          <w:tab w:pos="3322" w:val="left"/>
        </w:tabs>
        <w:autoSpaceDE w:val="0"/>
        <w:widowControl/>
        <w:spacing w:line="245" w:lineRule="auto" w:before="254" w:after="0"/>
        <w:ind w:left="143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OMMISSIONER</w:t>
      </w:r>
      <w:r>
        <w:rPr>
          <w:rFonts w:ascii="Times" w:hAnsi="Times" w:eastAsia="Times"/>
          <w:b w:val="0"/>
          <w:i w:val="0"/>
          <w:color w:val="221F1F"/>
          <w:sz w:val="20"/>
        </w:rPr>
        <w:t>-G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p>
      <w:pPr>
        <w:autoSpaceDN w:val="0"/>
        <w:tabs>
          <w:tab w:pos="1996" w:val="left"/>
          <w:tab w:pos="6736" w:val="left"/>
        </w:tabs>
        <w:autoSpaceDE w:val="0"/>
        <w:widowControl/>
        <w:spacing w:line="245" w:lineRule="auto" w:before="254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of Labour shall be in 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Administration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administration of this Act and may delegate any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Act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1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under this Act to any officer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Labour Department as authorized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of Labour.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Commissioner-General shall for the purposes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inquiry in respect of a complaint made under section 5,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following powers of a District Court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summon and compel the attendance of witnesses;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compel the production of documents;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require the evidence of any witness to be given</w:t>
            </w:r>
          </w:p>
        </w:tc>
      </w:tr>
    </w:tbl>
    <w:p>
      <w:pPr>
        <w:autoSpaceDN w:val="0"/>
        <w:autoSpaceDE w:val="0"/>
        <w:widowControl/>
        <w:spacing w:line="252" w:lineRule="auto" w:before="12" w:after="1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oath or affirmation or cause to be administered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an officer authorized in that behalf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an oath or affirmation to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such witness.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 by notice in writing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any employer direct such employer to furnish to </w:t>
      </w:r>
      <w:r>
        <w:rPr>
          <w:rFonts w:ascii="Times" w:hAnsi="Times" w:eastAsia="Times"/>
          <w:b w:val="0"/>
          <w:i w:val="0"/>
          <w:color w:val="221F1F"/>
          <w:sz w:val="20"/>
        </w:rPr>
        <w:t>him before a date as specified in such direction-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return relating to all his workers or any class or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 of such workers and any particulars as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may require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information or explanation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may require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particulars stated in any return furnished 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employer;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certified true copies of the whole or any part of any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register or record maintained by such employer.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–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without cause to appear before the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at the time and place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in the summons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be sworn or affirmed as a witness before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or any officer authorized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9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Commissioner-General in that behalf;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8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to extend the assistance required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as necessary for entry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inspection or the exercise of his powers;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48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hinders or obstructs the Commissioner-General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of the powers conferred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produce any register or record of wages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give any information which the Commissioner-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requires him to produce or give under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powers conferred on the Commissioner-General; or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or causes to be made any register or record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wages which is false in any material particular,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produces or causes or knowingly allows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produced any such register or record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acting under the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conferred on him, knowing the same to be false;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furnishes any information to the Commissioner-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acting under the powers conferred to him,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knowingly the same to be false; or</w:t>
      </w:r>
    </w:p>
    <w:p>
      <w:pPr>
        <w:autoSpaceDN w:val="0"/>
        <w:tabs>
          <w:tab w:pos="2816" w:val="left"/>
          <w:tab w:pos="28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without cause, or with cause which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of the Commissioner-General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unreasonable, to appear before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at the time and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any summons issued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Commissioner-General; or</w:t>
      </w:r>
    </w:p>
    <w:p>
      <w:pPr>
        <w:autoSpaceDN w:val="0"/>
        <w:tabs>
          <w:tab w:pos="2396" w:val="left"/>
          <w:tab w:pos="2876" w:val="left"/>
        </w:tabs>
        <w:autoSpaceDE w:val="0"/>
        <w:widowControl/>
        <w:spacing w:line="247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without cause or with cause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in the opinion of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is unreasonable, to produce and show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Commissioner-General any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in his possession or power and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the opinion of the Commissioner-General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for arriving at the truth of the 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inquired into by the Commissioner-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be affirmed or sworn in as a witness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before the Commissioner-General;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defaults in complying with any direction given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4" w:lineRule="auto" w:before="1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Commissioner-General, or who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called upon to furnish a return knowingly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or furnishes or caused to be furnished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return or a return containing any false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statement,</w:t>
      </w:r>
    </w:p>
    <w:p>
      <w:pPr>
        <w:autoSpaceDN w:val="0"/>
        <w:autoSpaceDE w:val="0"/>
        <w:widowControl/>
        <w:spacing w:line="259" w:lineRule="auto" w:before="29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section, commits an offence and shall be liable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thereof after summary trial before a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>to a fine not exceeding five thousand rupees or to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232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six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notice which is required by this Act to be served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Notices</w:t>
            </w:r>
          </w:p>
        </w:tc>
      </w:tr>
      <w:tr>
        <w:trPr>
          <w:trHeight w:hRule="exact" w:val="2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given to any person shall if it is not served on or given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6" w:after="232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to such person, be deemed to have been duly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or given to such person if it is sent to him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 addressed to the usual or last known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abode or business of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matters which are stated or required by this Act to be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2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or in respect of all matters for which 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required or authorized to be made by this Act.</w:t>
      </w:r>
    </w:p>
    <w:p>
      <w:pPr>
        <w:autoSpaceDN w:val="0"/>
        <w:tabs>
          <w:tab w:pos="1702" w:val="left"/>
          <w:tab w:pos="1902" w:val="left"/>
          <w:tab w:pos="2340" w:val="left"/>
        </w:tabs>
        <w:autoSpaceDE w:val="0"/>
        <w:widowControl/>
        <w:spacing w:line="266" w:lineRule="auto" w:before="29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regulation made by the Minister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upon such publication or on such later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in the regulation.</w:t>
      </w:r>
    </w:p>
    <w:p>
      <w:pPr>
        <w:autoSpaceDN w:val="0"/>
        <w:tabs>
          <w:tab w:pos="1902" w:val="left"/>
          <w:tab w:pos="2340" w:val="left"/>
        </w:tabs>
        <w:autoSpaceDE w:val="0"/>
        <w:widowControl/>
        <w:spacing w:line="262" w:lineRule="auto" w:before="284" w:after="1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regulation made by the Minister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shall within three months 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Parliament for approval. Any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 which is not so approved shall be deemed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rescinded from the date of such disapproval but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prejudice to anything previously done thereunder.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478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40" w:after="180"/>
        <w:ind w:left="0" w:right="39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employer who contravenes the provisions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Premature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3 commits and offence and shall on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retirement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a fine not exceeding  five thousand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imprisonment of either description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six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employer who fails to comply with a direction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notice issued by the Commissioner-General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compliance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5, commits an offence and shall be liable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after summary trial by a Magistrate to 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five thousand rupees or to an imprisonment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description for a term not exceeding six months or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burden of proof that the employer has complied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 the directions of the notice issued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under section 5 lies on such employer.</w:t>
      </w:r>
    </w:p>
    <w:p>
      <w:pPr>
        <w:autoSpaceDN w:val="0"/>
        <w:tabs>
          <w:tab w:pos="1996" w:val="left"/>
          <w:tab w:pos="2434" w:val="left"/>
        </w:tabs>
        <w:autoSpaceDE w:val="0"/>
        <w:widowControl/>
        <w:spacing w:line="245" w:lineRule="auto" w:before="240" w:after="18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conviction of an employer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>such employer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 in addition to the fine such employer is liable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pay under subsection (1), an additional fine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rupees in respect of each day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continues to fail to comply with such direction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conviction;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 to the worker the wages, benefits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compensation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of section 5, which would have been payable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worker if such worker had been in employment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being retired for the period commencing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date specified in the notice 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and ending on the date of conviction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employer;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worker attains the minimum retirement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age prior to the date of conviction of such employer,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to the worker the wages, benefits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compensation until the date on which he attains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retirement age.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sum which an employer is liable to pay under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may be recovered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of the Court by which such employer was convicted </w:t>
      </w:r>
      <w:r>
        <w:rPr>
          <w:rFonts w:ascii="Times" w:hAnsi="Times" w:eastAsia="Times"/>
          <w:b w:val="0"/>
          <w:i w:val="0"/>
          <w:color w:val="221F1F"/>
          <w:sz w:val="20"/>
        </w:rPr>
        <w:t>as if it were a fine imposed on the employer by that Court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amount so recovered shall be paid to the worker.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offence under this Act is committed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then, if such body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 body of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body corporate, every director and officer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</w:tbl>
    <w:p>
      <w:pPr>
        <w:autoSpaceDN w:val="0"/>
        <w:autoSpaceDE w:val="0"/>
        <w:widowControl/>
        <w:spacing w:line="238" w:lineRule="auto" w:before="8" w:after="178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firm, every partner of that firm 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trade union, every officer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that trade union;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body other than a firm or trade union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unincorporated, the president, manager,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every officer of such body,</w:t>
      </w:r>
    </w:p>
    <w:p>
      <w:pPr>
        <w:autoSpaceDN w:val="0"/>
        <w:autoSpaceDE w:val="0"/>
        <w:widowControl/>
        <w:spacing w:line="238" w:lineRule="auto" w:before="25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 to be guilty of that offence:</w:t>
      </w:r>
    </w:p>
    <w:p>
      <w:pPr>
        <w:autoSpaceDN w:val="0"/>
        <w:autoSpaceDE w:val="0"/>
        <w:widowControl/>
        <w:spacing w:line="247" w:lineRule="auto" w:before="254" w:after="8"/>
        <w:ind w:left="1702" w:right="2516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person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guilty of an offence under this Act, if such person proves </w:t>
      </w:r>
      <w:r>
        <w:rPr>
          <w:rFonts w:ascii="Times" w:hAnsi="Times" w:eastAsia="Times"/>
          <w:b w:val="0"/>
          <w:i w:val="0"/>
          <w:color w:val="221F1F"/>
          <w:sz w:val="20"/>
        </w:rPr>
        <w:t>that such offence was committed without his knowledge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exercised all due diligence to prevent the commission of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person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General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18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insults or intimidates the Commissioner-General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progress of any inquiry conducted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Commissioner-General 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interferes with the lawful process of such inquiry,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by the Commissioner-General,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commits the offence of contempt against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 shall be triable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summarily by a Magistrate having jurisdiction in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to be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 of the place where the worker was last employed.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30"/>
        <w:ind w:left="0" w:right="15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summarily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proceedings at any inquiry held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inquiry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 be</w:t>
            </w:r>
          </w:p>
        </w:tc>
      </w:tr>
      <w:tr>
        <w:trPr>
          <w:trHeight w:hRule="exact" w:val="71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1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for the purposes of this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conducted by the Commissioner-General in any manner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inconsistent with the principles of natural justice.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4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inconsistent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principles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natural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justice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employer is charged with an offence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such employer shall upon complaint duly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defense open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 person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him in accordance with the provisions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charged with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 of the Code of Criminal Procedure Act, No.15 of 1979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on giving to the prosecution not less than three days’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of his intention, be entitled subject to the provisions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Chapter XIV of that Act to have any other person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charges as the actual offender, brought before the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after commission of the offence by such 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proved, the employer proves to the satisfaction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that he has used due diligence to enforce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that such other person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the offence without his knowledge, consent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connivance, then, that such other person shall be convicted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offence and the employer shall be exempt from any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0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punishment in respect of the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Minimum Retirement Age of Workers</w:t>
      </w:r>
    </w:p>
    <w:p>
      <w:pPr>
        <w:autoSpaceDN w:val="0"/>
        <w:tabs>
          <w:tab w:pos="1902" w:val="left"/>
          <w:tab w:pos="2340" w:val="left"/>
        </w:tabs>
        <w:autoSpaceDE w:val="0"/>
        <w:widowControl/>
        <w:spacing w:line="250" w:lineRule="auto" w:before="49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in any case referred to in subsection (1), a </w:t>
      </w:r>
      <w:r>
        <w:rPr>
          <w:rFonts w:ascii="Times" w:hAnsi="Times" w:eastAsia="Times"/>
          <w:b w:val="0"/>
          <w:i w:val="0"/>
          <w:color w:val="221F1F"/>
          <w:sz w:val="20"/>
        </w:rPr>
        <w:t>complaint is made by an employer against any other person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against such other person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conducted by or on behalf of the employer;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witness called by the prosecution in the</w:t>
            </w:r>
          </w:p>
        </w:tc>
      </w:tr>
    </w:tbl>
    <w:p>
      <w:pPr>
        <w:autoSpaceDN w:val="0"/>
        <w:autoSpaceDE w:val="0"/>
        <w:widowControl/>
        <w:spacing w:line="254" w:lineRule="auto" w:before="4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such other person may be cross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examined by any officer authorized in that behalf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Commissioner-General;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pending the determination of the proceedings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such other person, the proceedings in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prosecution of the employer shall be adjourned</w:t>
      </w:r>
      <w:r>
        <w:rPr>
          <w:rFonts w:ascii="Times" w:hAnsi="Times" w:eastAsia="Times"/>
          <w:b w:val="0"/>
          <w:i w:val="0"/>
          <w:color w:val="00AEE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unless the context otherwise requires –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50" w:lineRule="auto" w:before="216" w:after="10"/>
        <w:ind w:left="2682" w:right="2448" w:hanging="37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“Commissioner-General” means 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of Labour and includes any Additional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Labour,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6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Labour, Deputy Commissioner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Labour, an Assistant Commissioner of Labour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Labour Officer;</w:t>
      </w:r>
    </w:p>
    <w:p>
      <w:pPr>
        <w:autoSpaceDN w:val="0"/>
        <w:tabs>
          <w:tab w:pos="2304" w:val="left"/>
          <w:tab w:pos="2682" w:val="left"/>
        </w:tabs>
        <w:autoSpaceDE w:val="0"/>
        <w:widowControl/>
        <w:spacing w:line="259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“employer” means any person who employs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 or causes to be employed any worker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any other person and includes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employers whether such body is a firm,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company, corporation, trade union or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unincorporated,  but does not include any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or such body which are excluded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provision or any regulation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Act;</w:t>
      </w:r>
    </w:p>
    <w:p>
      <w:pPr>
        <w:autoSpaceDN w:val="0"/>
        <w:tabs>
          <w:tab w:pos="2304" w:val="left"/>
          <w:tab w:pos="2682" w:val="left"/>
        </w:tabs>
        <w:autoSpaceDE w:val="0"/>
        <w:widowControl/>
        <w:spacing w:line="259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“employment of casual nature” means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of a worker not in excess of thirty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six days in any one calendar year;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78" w:after="2"/>
        <w:ind w:left="2776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”fixed term employment” means a written contract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employment for a fixed term of time,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days, months or years between an employer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a worker and includes a consecutive fixed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 contract entered into with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individual where such contract is specifically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linked to the performance of a particular task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project and the employer retains the services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5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worker after the end of such fixed 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without entering into a new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7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for more than six calendar months,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 shall be deemed to have extended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length of time identical to the existing fixed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 employment contract;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56" w:right="1152" w:hanging="3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“probationary worker” means a worker who works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period of not exceeding 180 days within</w:t>
            </w:r>
          </w:p>
        </w:tc>
      </w:tr>
    </w:tbl>
    <w:p>
      <w:pPr>
        <w:autoSpaceDN w:val="0"/>
        <w:tabs>
          <w:tab w:pos="2776" w:val="left"/>
        </w:tabs>
        <w:autoSpaceDE w:val="0"/>
        <w:widowControl/>
        <w:spacing w:line="245" w:lineRule="auto" w:before="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period the employer has the sole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discretion to decide whether such worker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suitable for a particular position and if not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decide to extend such period for a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ninety days, and does not include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 if such worker has been employed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post or performed the same work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previously on any contract of service with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employer;</w:t>
      </w:r>
    </w:p>
    <w:p>
      <w:pPr>
        <w:autoSpaceDN w:val="0"/>
        <w:autoSpaceDE w:val="0"/>
        <w:widowControl/>
        <w:spacing w:line="245" w:lineRule="auto" w:before="236" w:after="4"/>
        <w:ind w:left="2776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”seasonal employment contract” means a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of employment between an employer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worker in respect of a specified seasonal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work for a time to be specified in such contract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days or months and entered into on an actual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 basis and which shall not be deemed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7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indefinite term contract if the time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engagement in each twelve month period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 six months;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56" w:right="1152" w:hanging="3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”worker” shall have the same meaning assigned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 “workman” in the Industrial Disputes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7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 (Chapter 131);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Minimum Retirement Age of Workers</w:t>
      </w:r>
    </w:p>
    <w:p>
      <w:pPr>
        <w:autoSpaceDN w:val="0"/>
        <w:autoSpaceDE w:val="0"/>
        <w:widowControl/>
        <w:spacing w:line="245" w:lineRule="auto" w:before="478" w:after="180"/>
        <w:ind w:left="2682" w:right="2516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”wages” means the basic salary or salary and the cost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living allowance or any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allowance.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autoSpaceDN w:val="0"/>
        <w:tabs>
          <w:tab w:pos="5852" w:val="left"/>
        </w:tabs>
        <w:autoSpaceDE w:val="0"/>
        <w:widowControl/>
        <w:spacing w:line="238" w:lineRule="auto" w:before="406" w:after="364"/>
        <w:ind w:left="37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section 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584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Age of worker as at the date of coming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into operation of the Minimum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Retirement Age 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>Workers Act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514" w:space="0"/>
            <w:col w:w="450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1146"/>
        <w:ind w:left="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 Minimum Retirement Age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514" w:space="0"/>
            <w:col w:w="450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5664" w:val="left"/>
        </w:tabs>
        <w:autoSpaceDE w:val="0"/>
        <w:widowControl/>
        <w:spacing w:line="238" w:lineRule="auto" w:before="0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54 or above and below 55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57 years</w:t>
      </w:r>
    </w:p>
    <w:p>
      <w:pPr>
        <w:autoSpaceDN w:val="0"/>
        <w:tabs>
          <w:tab w:pos="5664" w:val="left"/>
        </w:tabs>
        <w:autoSpaceDE w:val="0"/>
        <w:widowControl/>
        <w:spacing w:line="235" w:lineRule="auto" w:before="5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53 or above and below 54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58 years</w:t>
      </w:r>
    </w:p>
    <w:p>
      <w:pPr>
        <w:autoSpaceDN w:val="0"/>
        <w:tabs>
          <w:tab w:pos="5664" w:val="left"/>
        </w:tabs>
        <w:autoSpaceDE w:val="0"/>
        <w:widowControl/>
        <w:spacing w:line="238" w:lineRule="auto" w:before="5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52 or above and below 53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59 years</w:t>
      </w:r>
    </w:p>
    <w:p>
      <w:pPr>
        <w:autoSpaceDN w:val="0"/>
        <w:tabs>
          <w:tab w:pos="5664" w:val="left"/>
        </w:tabs>
        <w:autoSpaceDE w:val="0"/>
        <w:widowControl/>
        <w:spacing w:line="235" w:lineRule="auto" w:before="5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Below 52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 years</w:t>
      </w:r>
    </w:p>
    <w:p>
      <w:pPr>
        <w:autoSpaceDN w:val="0"/>
        <w:tabs>
          <w:tab w:pos="5622" w:val="left"/>
        </w:tabs>
        <w:autoSpaceDE w:val="0"/>
        <w:widowControl/>
        <w:spacing w:line="238" w:lineRule="auto" w:before="522" w:after="0"/>
        <w:ind w:left="37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section 3(1)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286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employer or worker in the Government sector.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286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in any statutory body established under written</w:t>
      </w:r>
    </w:p>
    <w:p>
      <w:pPr>
        <w:autoSpaceDN w:val="0"/>
        <w:autoSpaceDE w:val="0"/>
        <w:widowControl/>
        <w:spacing w:line="235" w:lineRule="auto" w:before="5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law.</w:t>
      </w:r>
    </w:p>
    <w:p>
      <w:pPr>
        <w:autoSpaceDN w:val="0"/>
        <w:tabs>
          <w:tab w:pos="2182" w:val="left"/>
        </w:tabs>
        <w:autoSpaceDE w:val="0"/>
        <w:widowControl/>
        <w:spacing w:line="235" w:lineRule="auto" w:before="288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of Government owned business undertakings</w:t>
      </w:r>
    </w:p>
    <w:p>
      <w:pPr>
        <w:autoSpaceDN w:val="0"/>
        <w:autoSpaceDE w:val="0"/>
        <w:widowControl/>
        <w:spacing w:line="238" w:lineRule="auto" w:before="5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registered under the Companies Act, No. 7 of 2007.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286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in any Provincial Council or Local Authority.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286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recruited by any registered society within the</w:t>
      </w:r>
    </w:p>
    <w:p>
      <w:pPr>
        <w:autoSpaceDN w:val="0"/>
        <w:autoSpaceDE w:val="0"/>
        <w:widowControl/>
        <w:spacing w:line="235" w:lineRule="auto" w:before="5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meaning of the Cooperative Societies Law, No. 5 of 1972.</w:t>
      </w:r>
    </w:p>
    <w:p>
      <w:pPr>
        <w:autoSpaceDN w:val="0"/>
        <w:tabs>
          <w:tab w:pos="2182" w:val="left"/>
        </w:tabs>
        <w:autoSpaceDE w:val="0"/>
        <w:widowControl/>
        <w:spacing w:line="235" w:lineRule="auto" w:before="288" w:after="0"/>
        <w:ind w:left="18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of a charitable institution that has been identified</w:t>
      </w:r>
    </w:p>
    <w:p>
      <w:pPr>
        <w:autoSpaceDN w:val="0"/>
        <w:autoSpaceDE w:val="0"/>
        <w:widowControl/>
        <w:spacing w:line="238" w:lineRule="auto" w:before="5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by section 68 of the Inland Revenue Act, No, 24 of 2017.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514" w:space="0"/>
            <w:col w:w="450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Retirement Age of Workers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516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foreign worker who is not a citizen of Sri Lanka.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88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entered into any contract of service for training in</w:t>
      </w:r>
    </w:p>
    <w:p>
      <w:pPr>
        <w:autoSpaceDN w:val="0"/>
        <w:autoSpaceDE w:val="0"/>
        <w:widowControl/>
        <w:spacing w:line="238" w:lineRule="auto" w:before="54" w:after="0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any trade or occupation.</w:t>
      </w:r>
    </w:p>
    <w:p>
      <w:pPr>
        <w:autoSpaceDN w:val="0"/>
        <w:tabs>
          <w:tab w:pos="2278" w:val="left"/>
        </w:tabs>
        <w:autoSpaceDE w:val="0"/>
        <w:widowControl/>
        <w:spacing w:line="238" w:lineRule="auto" w:before="286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apprentice or trainee in any wages board established under</w:t>
      </w:r>
    </w:p>
    <w:p>
      <w:pPr>
        <w:autoSpaceDN w:val="0"/>
        <w:autoSpaceDE w:val="0"/>
        <w:widowControl/>
        <w:spacing w:line="235" w:lineRule="auto" w:before="52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Wages Boards Ordinance (Chapter 136).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18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apprentice or trainee covered by the Tertiary and</w:t>
      </w:r>
    </w:p>
    <w:p>
      <w:pPr>
        <w:autoSpaceDN w:val="0"/>
        <w:autoSpaceDE w:val="0"/>
        <w:widowControl/>
        <w:spacing w:line="235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Vocational Education Act, No. 20 of 1990 or the Employment</w:t>
      </w:r>
    </w:p>
    <w:p>
      <w:pPr>
        <w:autoSpaceDN w:val="0"/>
        <w:autoSpaceDE w:val="0"/>
        <w:widowControl/>
        <w:spacing w:line="235" w:lineRule="auto" w:before="12" w:after="0"/>
        <w:ind w:left="0" w:right="33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Trainees (Private Sector) Act, No. 8 of 1978.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</w:t>
      </w:r>
      <w:r>
        <w:rPr>
          <w:rFonts w:ascii="Times" w:hAnsi="Times" w:eastAsia="Times"/>
          <w:b w:val="0"/>
          <w:i w:val="0"/>
          <w:color w:val="221F1F"/>
          <w:sz w:val="16"/>
        </w:rPr>
        <w:t>who enters into and works under a fixed term</w:t>
      </w:r>
    </w:p>
    <w:p>
      <w:pPr>
        <w:autoSpaceDN w:val="0"/>
        <w:autoSpaceDE w:val="0"/>
        <w:widowControl/>
        <w:spacing w:line="235" w:lineRule="auto" w:before="12" w:after="0"/>
        <w:ind w:left="0" w:right="2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employment contract or casual employment contract.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who enters into and works under a contract of</w:t>
      </w:r>
    </w:p>
    <w:p>
      <w:pPr>
        <w:autoSpaceDN w:val="0"/>
        <w:autoSpaceDE w:val="0"/>
        <w:widowControl/>
        <w:spacing w:line="235" w:lineRule="auto" w:before="12" w:after="0"/>
        <w:ind w:left="0" w:right="3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fixed term employment with an employer.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who enters into and works under a seasonal</w:t>
      </w:r>
    </w:p>
    <w:p>
      <w:pPr>
        <w:autoSpaceDN w:val="0"/>
        <w:autoSpaceDE w:val="0"/>
        <w:widowControl/>
        <w:spacing w:line="235" w:lineRule="auto" w:before="12" w:after="0"/>
        <w:ind w:left="0" w:right="3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employment contract with an employer.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part time worker who enters into contract of service with</w:t>
      </w:r>
    </w:p>
    <w:p>
      <w:pPr>
        <w:autoSpaceDN w:val="0"/>
        <w:autoSpaceDE w:val="0"/>
        <w:widowControl/>
        <w:spacing w:line="235" w:lineRule="auto" w:before="12" w:after="0"/>
        <w:ind w:left="0" w:right="5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 employer.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probationary worker who enters into contract of service</w:t>
      </w:r>
    </w:p>
    <w:p>
      <w:pPr>
        <w:autoSpaceDN w:val="0"/>
        <w:autoSpaceDE w:val="0"/>
        <w:widowControl/>
        <w:spacing w:line="235" w:lineRule="auto" w:before="12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with an employer.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daily paid worker who engages in an employment of</w:t>
      </w:r>
    </w:p>
    <w:p>
      <w:pPr>
        <w:autoSpaceDN w:val="0"/>
        <w:autoSpaceDE w:val="0"/>
        <w:widowControl/>
        <w:spacing w:line="235" w:lineRule="auto" w:before="12" w:after="0"/>
        <w:ind w:left="0" w:right="5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casual nature.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student who serves under a contract for a temporary term</w:t>
      </w:r>
    </w:p>
    <w:p>
      <w:pPr>
        <w:autoSpaceDN w:val="0"/>
        <w:autoSpaceDE w:val="0"/>
        <w:widowControl/>
        <w:spacing w:line="235" w:lineRule="auto" w:before="12" w:after="0"/>
        <w:ind w:left="0" w:right="4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employment during study leave.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domestic service.</w:t>
      </w:r>
    </w:p>
    <w:p>
      <w:pPr>
        <w:autoSpaceDN w:val="0"/>
        <w:tabs>
          <w:tab w:pos="2278" w:val="left"/>
        </w:tabs>
        <w:autoSpaceDE w:val="0"/>
        <w:widowControl/>
        <w:spacing w:line="235" w:lineRule="auto" w:before="20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worker who serves under a contract for an assignment</w:t>
      </w:r>
    </w:p>
    <w:p>
      <w:pPr>
        <w:autoSpaceDN w:val="0"/>
        <w:autoSpaceDE w:val="0"/>
        <w:widowControl/>
        <w:spacing w:line="238" w:lineRule="auto" w:before="42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basis employment, entered into with an employer.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4514" w:space="0"/>
            <w:col w:w="4506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428"/>
        </w:trPr>
        <w:tc>
          <w:tcPr>
            <w:tcW w:type="dxa" w:w="9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3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Retirement Age of Workers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4514" w:space="0"/>
        <w:col w:w="4506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