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 GAZETTE  OF  THE 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 LANKA</w:t>
      </w:r>
    </w:p>
    <w:p>
      <w:pPr>
        <w:autoSpaceDN w:val="0"/>
        <w:autoSpaceDE w:val="0"/>
        <w:widowControl/>
        <w:spacing w:line="238" w:lineRule="auto" w:before="206" w:after="0"/>
        <w:ind w:left="0" w:right="294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November  05, 2021</w:t>
      </w:r>
    </w:p>
    <w:p>
      <w:pPr>
        <w:autoSpaceDN w:val="0"/>
        <w:autoSpaceDE w:val="0"/>
        <w:widowControl/>
        <w:spacing w:line="238" w:lineRule="auto" w:before="30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4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08.11.2021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66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84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INSTITUTE OF CHARTERED SHIPBROKERS OF </w:t>
      </w:r>
      <w:r>
        <w:rPr>
          <w:rFonts w:ascii="Times,Bold" w:hAnsi="Times,Bold" w:eastAsia="Times,Bold"/>
          <w:b/>
          <w:i w:val="0"/>
          <w:color w:val="221F1F"/>
          <w:sz w:val="24"/>
        </w:rPr>
        <w:t>SRI LANKA (INCORPORATION)</w:t>
      </w:r>
    </w:p>
    <w:p>
      <w:pPr>
        <w:autoSpaceDN w:val="0"/>
        <w:autoSpaceDE w:val="0"/>
        <w:widowControl/>
        <w:spacing w:line="235" w:lineRule="auto" w:before="246" w:after="0"/>
        <w:ind w:left="0" w:right="35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210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96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24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incorporate the Institute of Chartered Shipbrokers of Sri Lanka</w:t>
      </w:r>
    </w:p>
    <w:p>
      <w:pPr>
        <w:autoSpaceDN w:val="0"/>
        <w:autoSpaceDE w:val="0"/>
        <w:widowControl/>
        <w:spacing w:line="245" w:lineRule="auto" w:before="386" w:after="0"/>
        <w:ind w:left="1872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Buddhika Pathirana, M.P.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Matara District</w:t>
      </w:r>
    </w:p>
    <w:p>
      <w:pPr>
        <w:autoSpaceDN w:val="0"/>
        <w:autoSpaceDE w:val="0"/>
        <w:widowControl/>
        <w:spacing w:line="245" w:lineRule="auto" w:before="232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5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6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724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72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Institute of Chartered Shipbrokers of Sri Lanka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7" w:lineRule="auto" w:before="256" w:after="0"/>
        <w:ind w:left="1728" w:right="230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NSTITUTE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HARTERED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HIPBROKERS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</w:p>
    <w:p>
      <w:pPr>
        <w:autoSpaceDN w:val="0"/>
        <w:tabs>
          <w:tab w:pos="1798" w:val="left"/>
          <w:tab w:pos="6718" w:val="left"/>
        </w:tabs>
        <w:autoSpaceDE w:val="0"/>
        <w:widowControl/>
        <w:spacing w:line="254" w:lineRule="auto" w:before="264" w:after="0"/>
        <w:ind w:left="1456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an Institution called and known as the “Institute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Shipbrokers of Sri Lanka” has heretofore been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formed in Sri Lanka for the purpose of effectually carrying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 its objects and transacting all matters connected 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said Institution according to the rules agreed to by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members:</w:t>
      </w:r>
    </w:p>
    <w:p>
      <w:pPr>
        <w:autoSpaceDN w:val="0"/>
        <w:tabs>
          <w:tab w:pos="1798" w:val="left"/>
        </w:tabs>
        <w:autoSpaceDE w:val="0"/>
        <w:widowControl/>
        <w:spacing w:line="252" w:lineRule="auto" w:before="266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Institution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established and has applied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incorporated and it will be expedient to grant the said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application :</w:t>
      </w:r>
    </w:p>
    <w:p>
      <w:pPr>
        <w:autoSpaceDN w:val="0"/>
        <w:autoSpaceDE w:val="0"/>
        <w:widowControl/>
        <w:spacing w:line="247" w:lineRule="auto" w:before="266" w:after="20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Institute of Chartered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Shipbrokers of Sri Lanka (Incorporation) Act, No.    of  2021.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3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 the Institute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 of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Chartered Shipbrokers of Sri Lanka (hereinafter referred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Chartered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“Institute”) or shall hereafter be admitted as members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Shipbrokers</w:t>
            </w:r>
          </w:p>
        </w:tc>
      </w:tr>
      <w:tr>
        <w:trPr>
          <w:trHeight w:hRule="exact" w:val="24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hereby constituted, shall be a body corporate,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Sri Lanka</w:t>
            </w:r>
          </w:p>
        </w:tc>
      </w:tr>
    </w:tbl>
    <w:p>
      <w:pPr>
        <w:autoSpaceDN w:val="0"/>
        <w:autoSpaceDE w:val="0"/>
        <w:widowControl/>
        <w:spacing w:line="252" w:lineRule="auto" w:before="0" w:after="1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with perpetual succession under the name and style of 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“Institute of Chartered Shipbrokers of Sri Lanka” (hereinafter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as the  “Corporation”) and by that name may sue and be </w:t>
      </w:r>
      <w:r>
        <w:rPr>
          <w:rFonts w:ascii="Times" w:hAnsi="Times" w:eastAsia="Times"/>
          <w:b w:val="0"/>
          <w:i w:val="0"/>
          <w:color w:val="221F1F"/>
          <w:sz w:val="20"/>
        </w:rPr>
        <w:t>sued with full power and to authority to have and  use a common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6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seal and to alter the same at its pleasure.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Corporation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 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tabs>
          <w:tab w:pos="2398" w:val="left"/>
        </w:tabs>
        <w:autoSpaceDE w:val="0"/>
        <w:widowControl/>
        <w:spacing w:line="247" w:lineRule="auto" w:before="80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promote professionalism in the shipping arena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through education 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82" w:val="left"/>
          <w:tab w:pos="3466" w:val="left"/>
        </w:tabs>
        <w:autoSpaceDE w:val="0"/>
        <w:widowControl/>
        <w:spacing w:line="245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Chartered Shipbrokers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302" w:val="left"/>
        </w:tabs>
        <w:autoSpaceDE w:val="0"/>
        <w:widowControl/>
        <w:spacing w:line="245" w:lineRule="auto" w:before="254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make aware existing and potential employees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shipping business;</w:t>
      </w:r>
    </w:p>
    <w:p>
      <w:pPr>
        <w:autoSpaceDN w:val="0"/>
        <w:tabs>
          <w:tab w:pos="1974" w:val="left"/>
          <w:tab w:pos="2302" w:val="left"/>
        </w:tabs>
        <w:autoSpaceDE w:val="0"/>
        <w:widowControl/>
        <w:spacing w:line="247" w:lineRule="auto" w:before="25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persuade senior executives in major shipping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companies of the value of employing a well educated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staff possessing a genuine understanding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shipping business;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50" w:lineRule="auto" w:before="25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organize, supervise and control the admission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membership of the Corporation and to undertake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regulate the professional education and training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desiring to study for qualify in the field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shipping business, to prescribe and approve courses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study for qualifying examinations for membership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Corporation, to conduct or provide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conducting of such courses and examination and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collaborate with recognized educational institutions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furtherance of education in the field of shipping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business;</w:t>
      </w:r>
    </w:p>
    <w:p>
      <w:pPr>
        <w:autoSpaceDN w:val="0"/>
        <w:tabs>
          <w:tab w:pos="1974" w:val="left"/>
          <w:tab w:pos="2302" w:val="left"/>
        </w:tabs>
        <w:autoSpaceDE w:val="0"/>
        <w:widowControl/>
        <w:spacing w:line="247" w:lineRule="auto" w:before="25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prescribe the qualifacations and disqualifications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membership of the Corporation and the standards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professional conduct for members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 and to secure adherence thereto;</w:t>
      </w:r>
    </w:p>
    <w:p>
      <w:pPr>
        <w:autoSpaceDN w:val="0"/>
        <w:autoSpaceDE w:val="0"/>
        <w:widowControl/>
        <w:spacing w:line="245" w:lineRule="auto" w:before="254" w:after="194"/>
        <w:ind w:left="2302" w:right="25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organize and conduct conferences, seminars,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forums, workshops and meetings in Sri Lanka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Overseas;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62" w:right="1152" w:hanging="34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larget shipping related associations with a view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selling  the  package  for  their  development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6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programmes;</w:t>
      </w:r>
    </w:p>
    <w:p>
      <w:pPr>
        <w:autoSpaceDN w:val="0"/>
        <w:tabs>
          <w:tab w:pos="2302" w:val="left"/>
        </w:tabs>
        <w:autoSpaceDE w:val="0"/>
        <w:widowControl/>
        <w:spacing w:line="245" w:lineRule="auto" w:before="254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undertake, promote and facilitate studies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relevant field;</w:t>
      </w:r>
    </w:p>
    <w:p>
      <w:pPr>
        <w:autoSpaceDN w:val="0"/>
        <w:tabs>
          <w:tab w:pos="2002" w:val="left"/>
          <w:tab w:pos="2302" w:val="left"/>
        </w:tabs>
        <w:autoSpaceDE w:val="0"/>
        <w:widowControl/>
        <w:spacing w:line="245" w:lineRule="auto" w:before="254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promote understanding, co-operation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friendship with similar institutions within and outside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 Lanka;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2" w:val="left"/>
          <w:tab w:pos="6494" w:val="left"/>
        </w:tabs>
        <w:autoSpaceDE w:val="0"/>
        <w:widowControl/>
        <w:spacing w:line="245" w:lineRule="auto" w:before="0" w:after="0"/>
        <w:ind w:left="227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Chartered Shipbrokers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260" w:after="0"/>
        <w:ind w:left="20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>) to conduct examinations and offer memberships;</w:t>
      </w:r>
    </w:p>
    <w:p>
      <w:pPr>
        <w:autoSpaceDN w:val="0"/>
        <w:tabs>
          <w:tab w:pos="2398" w:val="left"/>
        </w:tabs>
        <w:autoSpaceDE w:val="0"/>
        <w:widowControl/>
        <w:spacing w:line="250" w:lineRule="auto" w:before="276" w:after="0"/>
        <w:ind w:left="20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assist and advice the Government in relation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shipping and logistic affairs; and</w:t>
      </w:r>
    </w:p>
    <w:p>
      <w:pPr>
        <w:autoSpaceDN w:val="0"/>
        <w:tabs>
          <w:tab w:pos="2098" w:val="left"/>
          <w:tab w:pos="2398" w:val="left"/>
        </w:tabs>
        <w:autoSpaceDE w:val="0"/>
        <w:widowControl/>
        <w:spacing w:line="254" w:lineRule="auto" w:before="276" w:after="216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do all such other acts and things as are necessary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and incidental or conducive to the attainment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above objects 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4.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menagement, control and administration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shall, subject to the provisions of this Act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rules in force for the time being of the Corporation,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vested in a Board of Management (hereinafter referred to as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“Board”) consisting of the office bearers and such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as may be provided for in such rules and elected in </w:t>
      </w:r>
      <w:r>
        <w:rPr>
          <w:rFonts w:ascii="Times" w:hAnsi="Times" w:eastAsia="Times"/>
          <w:b w:val="0"/>
          <w:i w:val="0"/>
          <w:color w:val="221F1F"/>
          <w:sz w:val="20"/>
        </w:rPr>
        <w:t>accordance therewith.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6" w:after="216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first Board of Management of the Corporation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consist of the members of the Board of the Institution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holding office on the day preceding the date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Corporation shall have the power to do,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 and matters as necessary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desirable for the promotion or furtherance of the objects </w:t>
      </w:r>
      <w:r>
        <w:rPr>
          <w:rFonts w:ascii="Times" w:hAnsi="Times" w:eastAsia="Times"/>
          <w:b w:val="0"/>
          <w:i w:val="0"/>
          <w:color w:val="221F1F"/>
          <w:sz w:val="20"/>
        </w:rPr>
        <w:t>of the Corporation or any one of them, including the power—</w:t>
      </w:r>
    </w:p>
    <w:p>
      <w:pPr>
        <w:autoSpaceDN w:val="0"/>
        <w:tabs>
          <w:tab w:pos="2398" w:val="left"/>
        </w:tabs>
        <w:autoSpaceDE w:val="0"/>
        <w:widowControl/>
        <w:spacing w:line="250" w:lineRule="auto" w:before="276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raise funds and receive grants, gifts or donations,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cash or kind ;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57" w:lineRule="auto" w:before="276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acquire, in any manner whatsoever and hold, take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give on lease or hire, tent, sell or otherwise dispose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of, any movable or immovable property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construct, maintain and alter any buildings or works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necessary or convenient for the business of the</w:t>
      </w:r>
    </w:p>
    <w:p>
      <w:pPr>
        <w:autoSpaceDN w:val="0"/>
        <w:tabs>
          <w:tab w:pos="2398" w:val="left"/>
        </w:tabs>
        <w:autoSpaceDE w:val="0"/>
        <w:widowControl/>
        <w:spacing w:line="281" w:lineRule="auto" w:before="2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 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82" w:val="left"/>
          <w:tab w:pos="3466" w:val="left"/>
        </w:tabs>
        <w:autoSpaceDE w:val="0"/>
        <w:widowControl/>
        <w:spacing w:line="245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Chartered Shipbrokers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1974" w:val="left"/>
          <w:tab w:pos="2302" w:val="left"/>
        </w:tabs>
        <w:autoSpaceDE w:val="0"/>
        <w:widowControl/>
        <w:spacing w:line="262" w:lineRule="auto" w:before="262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make, draw, accept, discount, endorse, negotiate,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buy, sell and issue bills of exchange, cheques,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promissory notes and other negotiable instruments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open, operate and close bank accounts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borrow or raise moner with or without security ;</w:t>
      </w:r>
    </w:p>
    <w:p>
      <w:pPr>
        <w:autoSpaceDN w:val="0"/>
        <w:autoSpaceDE w:val="0"/>
        <w:widowControl/>
        <w:spacing w:line="254" w:lineRule="auto" w:before="276" w:after="0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invest any funds not immediately required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of the Corporation in such manner as the </w:t>
      </w:r>
      <w:r>
        <w:rPr>
          <w:rFonts w:ascii="Times" w:hAnsi="Times" w:eastAsia="Times"/>
          <w:b w:val="0"/>
          <w:i w:val="0"/>
          <w:color w:val="221F1F"/>
          <w:sz w:val="20"/>
        </w:rPr>
        <w:t>Board of Management may determine ;</w:t>
      </w:r>
    </w:p>
    <w:p>
      <w:pPr>
        <w:autoSpaceDN w:val="0"/>
        <w:tabs>
          <w:tab w:pos="1974" w:val="left"/>
          <w:tab w:pos="2302" w:val="left"/>
        </w:tabs>
        <w:autoSpaceDE w:val="0"/>
        <w:widowControl/>
        <w:spacing w:line="257" w:lineRule="auto" w:before="282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enter into agreements or contracts with any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body of persons for the implementation of these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objects ;</w:t>
      </w:r>
    </w:p>
    <w:p>
      <w:pPr>
        <w:autoSpaceDN w:val="0"/>
        <w:autoSpaceDE w:val="0"/>
        <w:widowControl/>
        <w:spacing w:line="257" w:lineRule="auto" w:before="280" w:after="0"/>
        <w:ind w:left="2302" w:right="25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(f) to determine the fees to be paid in respect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of different categories of membership 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59" w:lineRule="auto" w:before="278" w:after="222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(g) appoint, employ, dismiss or terminate the services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officers and servants of the Corporation and to pay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 such salaries, allowances and gratuities as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determined by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Corporation, from time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27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at any general meeting and by the votes of not less than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57" w:lineRule="auto" w:before="10" w:after="22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two-thirds of the members present and voting, to make rules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inconsistent with the provisions of this Act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>written law, for all or any of the following matters:—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classification of membership, fees payable by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each class of members and admission, withdrawal,</w:t>
            </w:r>
          </w:p>
        </w:tc>
      </w:tr>
    </w:tbl>
    <w:p>
      <w:pPr>
        <w:autoSpaceDN w:val="0"/>
        <w:autoSpaceDE w:val="0"/>
        <w:widowControl/>
        <w:spacing w:line="252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expulsion or resignation of members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maintaining of register of members ;</w:t>
      </w:r>
    </w:p>
    <w:p>
      <w:pPr>
        <w:autoSpaceDN w:val="0"/>
        <w:tabs>
          <w:tab w:pos="2008" w:val="left"/>
          <w:tab w:pos="2422" w:val="left"/>
          <w:tab w:pos="2432" w:val="left"/>
        </w:tabs>
        <w:autoSpaceDE w:val="0"/>
        <w:widowControl/>
        <w:spacing w:line="264" w:lineRule="auto" w:before="248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of office bearers of the Board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vacation of or removal from office and the powers,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duties and functions of the office bearers 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2" w:val="left"/>
          <w:tab w:pos="6494" w:val="left"/>
        </w:tabs>
        <w:autoSpaceDE w:val="0"/>
        <w:widowControl/>
        <w:spacing w:line="245" w:lineRule="auto" w:before="0" w:after="0"/>
        <w:ind w:left="227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Chartered Shipbrokers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516" w:val="left"/>
          <w:tab w:pos="2526" w:val="left"/>
        </w:tabs>
        <w:autoSpaceDE w:val="0"/>
        <w:widowControl/>
        <w:spacing w:line="247" w:lineRule="auto" w:before="262" w:after="194"/>
        <w:ind w:left="21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appointment, powers, duties and functions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of the various officers, agents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servants of the Corporation 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2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to be followed at the summoning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holding of the meetings of the Board,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and any sub-committee thereof,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the quorum therefore and the conduct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business thereat 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qualifications and disqualifications for members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Board and the Corporation ; and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and management of the property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Corporation for the accomplishment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objects of the Corporation.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5" w:lineRule="auto" w:before="254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rules made by the Corporation may be amended,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 or rescinded at a like meeting and in like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manner as a rule made under subsection (1).</w:t>
      </w:r>
    </w:p>
    <w:p>
      <w:pPr>
        <w:autoSpaceDN w:val="0"/>
        <w:autoSpaceDE w:val="0"/>
        <w:widowControl/>
        <w:spacing w:line="245" w:lineRule="auto" w:before="254" w:after="0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members of the Corporation shall at all time be </w:t>
      </w:r>
      <w:r>
        <w:rPr>
          <w:rFonts w:ascii="Times" w:hAnsi="Times" w:eastAsia="Times"/>
          <w:b w:val="0"/>
          <w:i w:val="0"/>
          <w:color w:val="221F1F"/>
          <w:sz w:val="20"/>
        </w:rPr>
        <w:t>subject to rules of the Corporation made under this section.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7" w:lineRule="auto" w:before="254" w:after="194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rules of the Institute in force on the day preceding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date of commencement of this Act, shall in so far as they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not inconsistent with the provisions of this Act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written law, be deemed to be rules of the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made 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shall be able and capable in law 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to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charge—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charge fees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428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fees, as the Corporation may deem reasonable,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subscriptions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admission to any examination or course of study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conduted by the Corporation 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fees for the enrolment of persons to any class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membership of the Corporation ;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82" w:val="left"/>
          <w:tab w:pos="3466" w:val="left"/>
        </w:tabs>
        <w:autoSpaceDE w:val="0"/>
        <w:widowControl/>
        <w:spacing w:line="245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Chartered Shipbrokers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  <w:tab w:pos="2432" w:val="left"/>
        </w:tabs>
        <w:autoSpaceDE w:val="0"/>
        <w:widowControl/>
        <w:spacing w:line="245" w:lineRule="auto" w:before="254" w:after="194"/>
        <w:ind w:left="20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subscriptions and fees from members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as the Corporation may deem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appropriate to charge.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Board may appoint such other officers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and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servants and assign their designation as it may deem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servants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and</w:t>
            </w:r>
          </w:p>
        </w:tc>
      </w:tr>
      <w:tr>
        <w:trPr>
          <w:trHeight w:hRule="exact" w:val="3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calendar year.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19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Corporation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income and expenditure, assets and liabilities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transactions of the Corporation.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54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Corporation shall be audited by a </w:t>
      </w:r>
      <w:r>
        <w:rPr>
          <w:rFonts w:ascii="Times" w:hAnsi="Times" w:eastAsia="Times"/>
          <w:b w:val="0"/>
          <w:i w:val="0"/>
          <w:color w:val="221F1F"/>
          <w:sz w:val="20"/>
        </w:rPr>
        <w:t>qualified auditor as  may be determined by the Board.</w:t>
      </w:r>
    </w:p>
    <w:p>
      <w:pPr>
        <w:autoSpaceDN w:val="0"/>
        <w:autoSpaceDE w:val="0"/>
        <w:widowControl/>
        <w:spacing w:line="235" w:lineRule="auto" w:before="254" w:after="112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 this section, “Qualified Auditor” means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 being a member of the</w:t>
            </w:r>
          </w:p>
        </w:tc>
      </w:tr>
    </w:tbl>
    <w:p>
      <w:pPr>
        <w:autoSpaceDN w:val="0"/>
        <w:autoSpaceDE w:val="0"/>
        <w:widowControl/>
        <w:spacing w:line="247" w:lineRule="auto" w:before="4" w:after="6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institute established by law,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Accountant issued by  the Council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institute; or</w:t>
            </w:r>
          </w:p>
        </w:tc>
      </w:tr>
      <w:tr>
        <w:trPr>
          <w:trHeight w:hRule="exact" w:val="3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 each of the resident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47" w:lineRule="auto" w:before="6" w:after="192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 of which, being a member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of any other institute established by law,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 issued by the Council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With effect from the date of commencement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Vesting of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Institute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</w:t>
            </w:r>
          </w:p>
        </w:tc>
      </w:tr>
      <w:tr>
        <w:trPr>
          <w:trHeight w:hRule="exact" w:val="272"/>
        </w:trPr>
        <w:tc>
          <w:tcPr>
            <w:tcW w:type="dxa" w:w="1804"/>
            <w:vMerge/>
            <w:tcBorders/>
          </w:tcPr>
          <w:p/>
        </w:tc>
        <w:tc>
          <w:tcPr>
            <w:tcW w:type="dxa" w:w="7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property, movable or immovable,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8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Institute 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76.0000000000002" w:type="dxa"/>
      </w:tblPr>
      <w:tblGrid>
        <w:gridCol w:w="4510"/>
        <w:gridCol w:w="4510"/>
      </w:tblGrid>
      <w:tr>
        <w:trPr>
          <w:trHeight w:hRule="exact" w:val="3532"/>
        </w:trPr>
        <w:tc>
          <w:tcPr>
            <w:tcW w:type="dxa" w:w="4724"/>
            <w:tcBorders>
              <w:top w:sz="33.6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56" w:after="0"/>
              <w:ind w:left="7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Institute of Chartered Shipbrokers of Sri Lanka</w:t>
            </w:r>
          </w:p>
        </w:tc>
        <w:tc>
          <w:tcPr>
            <w:tcW w:type="dxa" w:w="1518"/>
            <w:tcBorders>
              <w:top w:sz="33.6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56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4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4" w:lineRule="auto" w:before="266" w:after="0"/>
        <w:ind w:left="210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rights, powers, privileges and interests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 and all the liabilities of the Institute ; and</w:t>
      </w:r>
    </w:p>
    <w:p>
      <w:pPr>
        <w:autoSpaceDN w:val="0"/>
        <w:tabs>
          <w:tab w:pos="2516" w:val="left"/>
        </w:tabs>
        <w:autoSpaceDE w:val="0"/>
        <w:widowControl/>
        <w:spacing w:line="235" w:lineRule="auto" w:before="292" w:after="0"/>
        <w:ind w:left="211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 books, accounts and documents of the Institute,</w:t>
      </w:r>
    </w:p>
    <w:p>
      <w:pPr>
        <w:autoSpaceDN w:val="0"/>
        <w:autoSpaceDE w:val="0"/>
        <w:widowControl/>
        <w:spacing w:line="238" w:lineRule="auto" w:before="294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shall vest absolutely in the Corporation.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92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With effect from the date of commencement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and without prejudice to the generality of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(1)—</w:t>
      </w:r>
    </w:p>
    <w:p>
      <w:pPr>
        <w:autoSpaceDN w:val="0"/>
        <w:tabs>
          <w:tab w:pos="2516" w:val="left"/>
          <w:tab w:pos="2526" w:val="left"/>
        </w:tabs>
        <w:autoSpaceDE w:val="0"/>
        <w:widowControl/>
        <w:spacing w:line="254" w:lineRule="auto" w:before="294" w:after="232"/>
        <w:ind w:left="210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debts due to and subscriptions and fees payable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Institute shall be paid to the Corporation 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liabilities of the Institute subsisting on the day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preceding the date of commencement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shall be deemed to be the liabilities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Corporation 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officers and servants of the Institute on the day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preceding the date of commencement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shall be deemed to be officers and servants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Corporation ;</w:t>
      </w:r>
    </w:p>
    <w:p>
      <w:pPr>
        <w:autoSpaceDN w:val="0"/>
        <w:tabs>
          <w:tab w:pos="2516" w:val="left"/>
          <w:tab w:pos="2526" w:val="left"/>
        </w:tabs>
        <w:autoSpaceDE w:val="0"/>
        <w:widowControl/>
        <w:spacing w:line="254" w:lineRule="auto" w:before="294" w:after="18"/>
        <w:ind w:left="210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contracts and agreements entered into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purposes of the Institute and subsisting on the day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4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preceding date of commencement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shall be deemed to be contracts and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agreements entered into by the Corporation ; and</w:t>
      </w:r>
    </w:p>
    <w:p>
      <w:pPr>
        <w:autoSpaceDN w:val="0"/>
        <w:tabs>
          <w:tab w:pos="2116" w:val="left"/>
          <w:tab w:pos="2516" w:val="left"/>
          <w:tab w:pos="2526" w:val="left"/>
        </w:tabs>
        <w:autoSpaceDE w:val="0"/>
        <w:widowControl/>
        <w:spacing w:line="266" w:lineRule="auto" w:before="294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actions and legal proceedings instituted by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against, the Institute and pending on the day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preceding date of commencement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shall be continued and enforced as legal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instituted by or against,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Corporation.</w:t>
      </w:r>
    </w:p>
    <w:p>
      <w:pPr>
        <w:sectPr>
          <w:pgSz w:w="11900" w:h="16840"/>
          <w:pgMar w:top="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82" w:val="left"/>
          <w:tab w:pos="3466" w:val="left"/>
        </w:tabs>
        <w:autoSpaceDE w:val="0"/>
        <w:widowControl/>
        <w:spacing w:line="245" w:lineRule="auto" w:before="0" w:after="194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Chartered Shipbrokers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Corporation shall not be affixed to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5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whatsoever, except in the presence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6" w:after="194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or a member of the Board as may be duly authorized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Board and another member of the Board who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sign their names to the instrument in token of their presence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such signing shall be independent of the signing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as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member of the Corporation shall, for the purpose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Limitation of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discharging the debts and liabilities of the Corporation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liability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any other purpose, be liable to make any contribution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the amount of annual subscription payable by </w:t>
      </w:r>
      <w:r>
        <w:rPr>
          <w:rFonts w:ascii="Times" w:hAnsi="Times" w:eastAsia="Times"/>
          <w:b w:val="0"/>
          <w:i w:val="0"/>
          <w:color w:val="221F1F"/>
          <w:sz w:val="20"/>
        </w:rPr>
        <w:t>him to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 there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all its debts and liabilities,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distributed among the members of the Corporation but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8" w:after="194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given or transferred to some other institute or institutes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objects similar to those of the Corporation, and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or are by the rules thereof prohibited from distributing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income or property among its or their members.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or institutions shall be determined by the Board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at or immediately before the dissolution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Every member shall be entitled to take and use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Eligibility to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title ‘Member of the Institute of Chartered Shipbrokers’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use title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‘Fellow of the Institute of Chartered Shipbrokers’ as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case may be, and use after his name the Initials “MICS” 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“FICS” and the case may be, and qualify for “Chartered </w:t>
      </w:r>
      <w:r>
        <w:rPr>
          <w:rFonts w:ascii="Times" w:hAnsi="Times" w:eastAsia="Times"/>
          <w:b w:val="0"/>
          <w:i w:val="0"/>
          <w:color w:val="221F1F"/>
          <w:sz w:val="20"/>
        </w:rPr>
        <w:t>Shipbroker”.</w:t>
      </w:r>
    </w:p>
    <w:p>
      <w:pPr>
        <w:autoSpaceDN w:val="0"/>
        <w:autoSpaceDE w:val="0"/>
        <w:widowControl/>
        <w:spacing w:line="235" w:lineRule="auto" w:before="254" w:after="2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Save as aforesaid no person shall take or use such title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such initials for any purpose whatsoever.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 affect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rights of the Republic or of any body politic or corporate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of any other person, except such as are mentioned in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and those claiming by, from or under them.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27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Chartered Shipbrokers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35" w:lineRule="auto" w:before="14" w:after="194"/>
        <w:ind w:left="0" w:right="4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person shall be liable in any suit or other legal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Indemnity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acts done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good faith</w:t>
            </w:r>
          </w:p>
        </w:tc>
      </w:tr>
      <w:tr>
        <w:trPr>
          <w:trHeight w:hRule="exact" w:val="49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preceding for any act done, or purporting to be done,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good faith in prusuance of the powers conferred by or under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this Act, or for the purpose of carrying out the provisions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4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Institute of Chartered Shipbrokers of Sri Lanka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9064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