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4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31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52" w:lineRule="auto" w:before="310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MAHAPOLA HIGHER EDUCATION SCHOLARSHIP </w:t>
      </w:r>
      <w:r>
        <w:rPr>
          <w:rFonts w:ascii="Times,Bold" w:hAnsi="Times,Bold" w:eastAsia="Times,Bold"/>
          <w:b/>
          <w:i w:val="0"/>
          <w:color w:val="221F1F"/>
          <w:sz w:val="24"/>
        </w:rPr>
        <w:t>TRUST FUND (AMENDMENT)</w:t>
      </w:r>
    </w:p>
    <w:p>
      <w:pPr>
        <w:autoSpaceDN w:val="0"/>
        <w:autoSpaceDE w:val="0"/>
        <w:widowControl/>
        <w:spacing w:line="238" w:lineRule="auto" w:before="41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416" w:after="0"/>
        <w:ind w:left="1584" w:right="172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Mahapola Higher Education Scholarship Trust Fund </w:t>
      </w:r>
      <w:r>
        <w:rPr>
          <w:rFonts w:ascii="Times,Bold" w:hAnsi="Times,Bold" w:eastAsia="Times,Bold"/>
          <w:b/>
          <w:i w:val="0"/>
          <w:color w:val="000000"/>
          <w:sz w:val="20"/>
        </w:rPr>
        <w:t>Act, No. 66 of 1981</w:t>
      </w:r>
    </w:p>
    <w:p>
      <w:pPr>
        <w:autoSpaceDN w:val="0"/>
        <w:autoSpaceDE w:val="0"/>
        <w:widowControl/>
        <w:spacing w:line="238" w:lineRule="auto" w:before="18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50" w:after="0"/>
        <w:ind w:left="19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Trade on 08th of November, 2021</w:t>
      </w:r>
    </w:p>
    <w:p>
      <w:pPr>
        <w:autoSpaceDN w:val="0"/>
        <w:autoSpaceDE w:val="0"/>
        <w:widowControl/>
        <w:spacing w:line="235" w:lineRule="auto" w:before="254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28,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3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85]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6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 00</w:t>
      </w:r>
    </w:p>
    <w:p>
      <w:pPr>
        <w:autoSpaceDN w:val="0"/>
        <w:tabs>
          <w:tab w:pos="6840" w:val="left"/>
        </w:tabs>
        <w:autoSpaceDE w:val="0"/>
        <w:widowControl/>
        <w:spacing w:line="240" w:lineRule="auto" w:before="164" w:after="0"/>
        <w:ind w:left="1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434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Clauses 2 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long title of the Mahapola Higher Education Scholarship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Trust Fund Act, No. 66 of 1981 (hereinafter referred to as the “principal enactment” and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legal effect of the amendment is to replace the words “MAHAPOLA HIGHER EDUCATION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SCHOLARSHIP TRUST FUND ACT” with the words “LALITH ATHULATHMUDALI </w:t>
      </w:r>
      <w:r>
        <w:rPr>
          <w:rFonts w:ascii="Times" w:hAnsi="Times" w:eastAsia="Times"/>
          <w:b w:val="0"/>
          <w:i w:val="0"/>
          <w:color w:val="221F1F"/>
          <w:sz w:val="16"/>
        </w:rPr>
        <w:t>MAHAPOLA HIGHER EDUCATION SCHOLARSHIP TRUST FUND ACT”.</w:t>
      </w:r>
    </w:p>
    <w:p>
      <w:pPr>
        <w:autoSpaceDN w:val="0"/>
        <w:tabs>
          <w:tab w:pos="1674" w:val="left"/>
        </w:tabs>
        <w:autoSpaceDE w:val="0"/>
        <w:widowControl/>
        <w:spacing w:line="245" w:lineRule="auto" w:before="202" w:after="0"/>
        <w:ind w:left="143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Clauses 3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principal enactment and other written laws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amendment is to replace the words –</w:t>
      </w:r>
    </w:p>
    <w:p>
      <w:pPr>
        <w:autoSpaceDN w:val="0"/>
        <w:tabs>
          <w:tab w:pos="2144" w:val="left"/>
          <w:tab w:pos="2154" w:val="left"/>
        </w:tabs>
        <w:autoSpaceDE w:val="0"/>
        <w:widowControl/>
        <w:spacing w:line="245" w:lineRule="auto" w:before="202" w:after="0"/>
        <w:ind w:left="180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“Mahapola Higher Education Scholarship Trust Fund Act” with the words “Lalith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Athulathmudali Mahapola Higher Education Scholarship Trust Fund Act”;</w:t>
      </w:r>
    </w:p>
    <w:p>
      <w:pPr>
        <w:autoSpaceDN w:val="0"/>
        <w:tabs>
          <w:tab w:pos="2144" w:val="left"/>
          <w:tab w:pos="2154" w:val="left"/>
        </w:tabs>
        <w:autoSpaceDE w:val="0"/>
        <w:widowControl/>
        <w:spacing w:line="245" w:lineRule="auto" w:before="202" w:after="0"/>
        <w:ind w:left="1806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“Mahapola Higher Education Scholarship Trust Fund” with the words “Lalith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Athulathmudali Mahapola Higher Education Scholarship Trust Fund”.</w:t>
      </w:r>
    </w:p>
    <w:p>
      <w:pPr>
        <w:autoSpaceDN w:val="0"/>
        <w:autoSpaceDE w:val="0"/>
        <w:widowControl/>
        <w:spacing w:line="247" w:lineRule="auto" w:before="202" w:after="0"/>
        <w:ind w:left="1434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3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section as amended is to change the composition of the Board of Trustees of the Fund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make provision to appoint a retired judge of the Supreme Court as the Chairman of the </w:t>
      </w:r>
      <w:r>
        <w:rPr>
          <w:rFonts w:ascii="Times" w:hAnsi="Times" w:eastAsia="Times"/>
          <w:b w:val="0"/>
          <w:i w:val="0"/>
          <w:color w:val="221F1F"/>
          <w:sz w:val="16"/>
        </w:rPr>
        <w:t>Board.</w:t>
      </w:r>
    </w:p>
    <w:p>
      <w:pPr>
        <w:autoSpaceDN w:val="0"/>
        <w:autoSpaceDE w:val="0"/>
        <w:widowControl/>
        <w:spacing w:line="247" w:lineRule="auto" w:before="202" w:after="0"/>
        <w:ind w:left="1434" w:right="134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15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extend the application of that section to the Trustees of the </w:t>
      </w:r>
      <w:r>
        <w:rPr>
          <w:rFonts w:ascii="Times" w:hAnsi="Times" w:eastAsia="Times"/>
          <w:b w:val="0"/>
          <w:i w:val="0"/>
          <w:color w:val="221F1F"/>
          <w:sz w:val="16"/>
        </w:rPr>
        <w:t>Fund.</w:t>
      </w:r>
    </w:p>
    <w:p>
      <w:pPr>
        <w:autoSpaceDN w:val="0"/>
        <w:autoSpaceDE w:val="0"/>
        <w:widowControl/>
        <w:spacing w:line="247" w:lineRule="auto" w:before="202" w:after="0"/>
        <w:ind w:left="1434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inserts a new section 15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make the provisions of the Offences Against Public </w:t>
      </w:r>
      <w:r>
        <w:rPr>
          <w:rFonts w:ascii="Times" w:hAnsi="Times" w:eastAsia="Times"/>
          <w:b w:val="0"/>
          <w:i w:val="0"/>
          <w:color w:val="221F1F"/>
          <w:sz w:val="16"/>
        </w:rPr>
        <w:t>Property Act, No. 12 of 1982 applicable to the properties of the Fund.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Mahapola Higher Education Scholarship Trust Fund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5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 5/2020</w:t>
      </w:r>
    </w:p>
    <w:p>
      <w:pPr>
        <w:autoSpaceDN w:val="0"/>
        <w:autoSpaceDE w:val="0"/>
        <w:widowControl/>
        <w:spacing w:line="245" w:lineRule="auto" w:before="254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AHAPOLA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IGHER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CHOLARSHIP </w:t>
      </w: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RUST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66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1981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Mahapola Higher Education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Scholarship Trust Fund (Amendment) Act, No.    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long title of the Mahapola Higher Education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Scholarship Trust Fund Act, No. 66 of 1981 (hereinafter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to Act,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“principal enactment”)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No.66 of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“MAHAPOLA HIGHER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1981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 SCHOLARSHIP TRUST FUND”, of the words,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“LALITH ATHULATHMUDALI MAHAPOLA HIGHER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EDUCATION SCHOLARSHIP TRUST FUND”.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principal enactment and in any other written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there shall be substituted –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“Mahapola Higher Education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Scholarship Trust Fund Act”, of the words, “Lalith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Athulathmudali Mahapola Higher Education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 law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Scholarship Trust Fund Act”; and</w:t>
      </w:r>
    </w:p>
    <w:p>
      <w:pPr>
        <w:autoSpaceDN w:val="0"/>
        <w:tabs>
          <w:tab w:pos="2508" w:val="left"/>
          <w:tab w:pos="2518" w:val="left"/>
        </w:tabs>
        <w:autoSpaceDE w:val="0"/>
        <w:widowControl/>
        <w:spacing w:line="245" w:lineRule="auto" w:before="254" w:after="6"/>
        <w:ind w:left="21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“Mahapola Higher Education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Scholarship Trust Fund”, of the words, “Lalith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Athulathmudali Mahapola Higher Education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Scholarship Trust Fund”,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wherever such words appear in the principal enactment and </w:t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reference to the “Mahapola Higher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 Trust Fund Act” and “Mahapola Higher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 Scholarship Trust Fund” in any notice,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notification, contract, communication, agreement, form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   Mahapola Higher Education Scholarship Trust Fund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7" w:lineRule="auto" w:before="254" w:after="17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document shall be read and construed as a reference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“Lalith Athulathmudali Mahapola Higher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 Trust Fund Act” and “Lalith Athulathmudali </w:t>
      </w:r>
      <w:r>
        <w:rPr>
          <w:rFonts w:ascii="Times" w:hAnsi="Times" w:eastAsia="Times"/>
          <w:b w:val="0"/>
          <w:i w:val="0"/>
          <w:color w:val="221F1F"/>
          <w:sz w:val="20"/>
        </w:rPr>
        <w:t>Mahapola Higher Education Scholarship Trust Fund”.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principal enactment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 (2) thereof and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 subsection:-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  <w:tab w:pos="2612" w:val="left"/>
        </w:tabs>
        <w:autoSpaceDE w:val="0"/>
        <w:widowControl/>
        <w:spacing w:line="245" w:lineRule="auto" w:before="1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The Board of Trustees of the Fund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“Board”) shall consist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members:-</w:t>
      </w:r>
    </w:p>
    <w:p>
      <w:pPr>
        <w:autoSpaceDN w:val="0"/>
        <w:autoSpaceDE w:val="0"/>
        <w:widowControl/>
        <w:spacing w:line="235" w:lineRule="auto" w:before="254" w:after="0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founder;</w:t>
      </w:r>
    </w:p>
    <w:p>
      <w:pPr>
        <w:autoSpaceDN w:val="0"/>
        <w:autoSpaceDE w:val="0"/>
        <w:widowControl/>
        <w:spacing w:line="245" w:lineRule="auto" w:before="254" w:after="0"/>
        <w:ind w:left="2902" w:right="2448" w:hanging="35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retired Judge of the Supreme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by the President for a period of three</w:t>
      </w:r>
    </w:p>
    <w:p>
      <w:pPr>
        <w:autoSpaceDN w:val="0"/>
        <w:tabs>
          <w:tab w:pos="2902" w:val="left"/>
        </w:tabs>
        <w:autoSpaceDE w:val="0"/>
        <w:widowControl/>
        <w:spacing w:line="262" w:lineRule="auto" w:before="14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 who shall be the Chairman of the Board;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30" w:after="0"/>
        <w:ind w:left="25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persons for the time being holding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as–</w:t>
      </w:r>
    </w:p>
    <w:p>
      <w:pPr>
        <w:autoSpaceDN w:val="0"/>
        <w:tabs>
          <w:tab w:pos="3074" w:val="left"/>
          <w:tab w:pos="3382" w:val="left"/>
        </w:tabs>
        <w:autoSpaceDE w:val="0"/>
        <w:widowControl/>
        <w:spacing w:line="252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Secretary to the Ministry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the subject of Higher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Education is assigned;</w:t>
      </w:r>
    </w:p>
    <w:p>
      <w:pPr>
        <w:autoSpaceDN w:val="0"/>
        <w:autoSpaceDE w:val="0"/>
        <w:widowControl/>
        <w:spacing w:line="245" w:lineRule="auto" w:before="234" w:after="0"/>
        <w:ind w:left="3382" w:right="2516" w:hanging="36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Secretary to the Ministry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Education is assigned;</w:t>
      </w:r>
    </w:p>
    <w:p>
      <w:pPr>
        <w:autoSpaceDN w:val="0"/>
        <w:tabs>
          <w:tab w:pos="2954" w:val="left"/>
          <w:tab w:pos="3382" w:val="left"/>
        </w:tabs>
        <w:autoSpaceDE w:val="0"/>
        <w:widowControl/>
        <w:spacing w:line="245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Secretary to the Ministry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to whom the subject of Trade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assigned; and</w:t>
      </w:r>
    </w:p>
    <w:p>
      <w:pPr>
        <w:autoSpaceDN w:val="0"/>
        <w:autoSpaceDE w:val="0"/>
        <w:widowControl/>
        <w:spacing w:line="245" w:lineRule="auto" w:before="254" w:after="0"/>
        <w:ind w:left="2884" w:right="2516" w:hanging="32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two persons appointed by the founder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members”) for a period of five years.”;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64" w:val="left"/>
          <w:tab w:pos="6518" w:val="left"/>
        </w:tabs>
        <w:autoSpaceDE w:val="0"/>
        <w:widowControl/>
        <w:spacing w:line="245" w:lineRule="auto" w:before="0" w:after="194"/>
        <w:ind w:left="2022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Mahapola Higher Education Scholarship Trust Fund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(3) thereof.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7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“All officers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15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servants of the Fund” of the words, “All officers, servants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Trustees of the Fund”.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ecnactment</w:t>
            </w:r>
          </w:p>
        </w:tc>
      </w:tr>
      <w:tr>
        <w:trPr>
          <w:trHeight w:hRule="exact" w:val="45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79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15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7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068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“Provisions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 Act,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All movable and immovable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Fund shall be deemed to be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within the meaning of, and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of, the Offences Against Public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9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 12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1982 to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Act, No. 12 of 1982.”.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8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avoidance of doubt, it is hereby declared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Avoidance of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“Lalith Athulathmudali Mahapola Higher Education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Scholarship Trust Fund”, shall, for all purposes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the successor to the “Mahapola Higher Education </w:t>
      </w:r>
      <w:r>
        <w:rPr>
          <w:rFonts w:ascii="Times" w:hAnsi="Times" w:eastAsia="Times"/>
          <w:b w:val="0"/>
          <w:i w:val="0"/>
          <w:color w:val="221F1F"/>
          <w:sz w:val="20"/>
        </w:rPr>
        <w:t>Scholarship Trust Fund”.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 an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</w:tabs>
        <w:autoSpaceDE w:val="0"/>
        <w:widowControl/>
        <w:spacing w:line="245" w:lineRule="auto" w:before="0" w:after="0"/>
        <w:ind w:left="1702" w:right="259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   Mahapola Higher Education Scholarship Trust Fund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66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