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4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10790" cy="4013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401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exact" w:before="51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366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88" w:lineRule="exact" w:before="26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>JUDICATURE (AMENDMENT)</w:t>
      </w:r>
    </w:p>
    <w:p>
      <w:pPr>
        <w:autoSpaceDN w:val="0"/>
        <w:autoSpaceDE w:val="0"/>
        <w:widowControl/>
        <w:spacing w:line="332" w:lineRule="exact" w:before="304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22" w:lineRule="exact" w:before="246" w:after="0"/>
        <w:ind w:left="0" w:right="273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Judicature Act, No. 2 of 1978</w:t>
      </w:r>
    </w:p>
    <w:p>
      <w:pPr>
        <w:autoSpaceDN w:val="0"/>
        <w:autoSpaceDE w:val="0"/>
        <w:widowControl/>
        <w:spacing w:line="230" w:lineRule="auto" w:before="262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4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Minister of Justice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on  10th of November, 2021</w:t>
      </w:r>
    </w:p>
    <w:p>
      <w:pPr>
        <w:autoSpaceDN w:val="0"/>
        <w:autoSpaceDE w:val="0"/>
        <w:widowControl/>
        <w:spacing w:line="266" w:lineRule="exact" w:before="468" w:after="0"/>
        <w:ind w:left="0" w:right="25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15, 2021)</w:t>
      </w:r>
    </w:p>
    <w:p>
      <w:pPr>
        <w:autoSpaceDN w:val="0"/>
        <w:autoSpaceDE w:val="0"/>
        <w:widowControl/>
        <w:spacing w:line="244" w:lineRule="exact" w:before="310" w:after="0"/>
        <w:ind w:left="0" w:right="29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0" w:lineRule="auto" w:before="276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78" w:lineRule="exact" w:before="13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89]</w:t>
      </w:r>
    </w:p>
    <w:p>
      <w:pPr>
        <w:autoSpaceDN w:val="0"/>
        <w:autoSpaceDE w:val="0"/>
        <w:widowControl/>
        <w:spacing w:line="212" w:lineRule="exact" w:before="30" w:after="0"/>
        <w:ind w:left="0" w:right="260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3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76" w:lineRule="exact" w:before="7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04" w:val="left"/>
        </w:tabs>
        <w:autoSpaceDE w:val="0"/>
        <w:widowControl/>
        <w:spacing w:line="240" w:lineRule="auto" w:before="0" w:after="0"/>
        <w:ind w:left="14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2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356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00" w:lineRule="exact" w:before="202" w:after="0"/>
        <w:ind w:left="1344" w:right="1436" w:firstLine="238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Judicature Act, No. 2 of 1978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legal effect of the amendment is to  appoint judicial officers from among the Magistrates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District Judges to function as the “Recorder Judges” of High Courts and to empower such </w:t>
      </w:r>
      <w:r>
        <w:rPr>
          <w:rFonts w:ascii="Times" w:hAnsi="Times" w:eastAsia="Times"/>
          <w:b w:val="0"/>
          <w:i w:val="0"/>
          <w:color w:val="221F1F"/>
          <w:sz w:val="16"/>
        </w:rPr>
        <w:t>Recorder Judges to attend to pre-trial and post-trial matters.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208" w:val="left"/>
        </w:tabs>
        <w:autoSpaceDE w:val="0"/>
        <w:widowControl/>
        <w:spacing w:line="400" w:lineRule="exact" w:before="0" w:after="0"/>
        <w:ind w:left="1798" w:right="288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Judicature 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>L. D.–O. 20/ 2020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602" w:space="0"/>
            <w:col w:w="341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32" w:after="466"/>
        <w:ind w:left="0" w:right="242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602" w:space="0"/>
            <w:col w:w="341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340" w:lineRule="exact" w:before="0" w:after="178"/>
        <w:ind w:left="1798" w:right="2304" w:firstLine="23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UDICATURE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6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4" w:after="0"/>
              <w:ind w:left="0" w:right="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78" w:lineRule="exact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Judicature (Amendment)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     of 2021.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85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Judicature Act, No. 2 of 1978 is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No. 2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1978</w:t>
            </w:r>
          </w:p>
        </w:tc>
      </w:tr>
      <w:tr>
        <w:trPr>
          <w:trHeight w:hRule="exact" w:val="25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repealed and the following section is substituted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96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“Appointment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Recorder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0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 Judicial Service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appoint a judicial officer from among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Judges and Magistrates to be called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Recorder Judge, to any High Court exercising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criminal jurisdiction, where such Commission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of the opinion that such appointment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Judge of such High Court (in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referred to as the “trial Judge”) may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 to the Recorder Judge appointed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High Court, the power to preside over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pre-trial conferences subject to the provisions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Code of Criminal Procedure Act, No. 15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1979.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Recorder Judge shall attend to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deal with pre-trial conferences delegated to him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(2) as specified in 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Code of Criminal Procedure Act,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15 of 1979 and post-trial matters delegated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him by the trial Judge not including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sentencing of an accused, that may arise 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course of a criminal proceeding.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602" w:space="0"/>
            <w:col w:w="341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6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Judicature (Amendment)</w:t>
            </w:r>
          </w:p>
        </w:tc>
      </w:tr>
      <w:tr>
        <w:trPr>
          <w:trHeight w:hRule="exact" w:val="1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70" w:after="0"/>
              <w:ind w:left="496" w:right="13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trial Judge may refer to the Recorder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Judge any matter of a procedural nature arising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course of the proceedings instituted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court after the stage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(3).</w:t>
            </w:r>
          </w:p>
        </w:tc>
      </w:tr>
      <w:tr>
        <w:trPr>
          <w:trHeight w:hRule="exact" w:val="147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9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88" w:after="0"/>
              <w:ind w:left="496" w:right="13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Recorder Judge may,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concurrence of the trial Judge, submit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determination by the trial Judge any matter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may otherwise have been properly dealt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by him.</w:t>
            </w:r>
          </w:p>
        </w:tc>
      </w:tr>
    </w:tbl>
    <w:p>
      <w:pPr>
        <w:autoSpaceDN w:val="0"/>
        <w:autoSpaceDE w:val="0"/>
        <w:widowControl/>
        <w:spacing w:line="266" w:lineRule="exact" w:before="58" w:after="72"/>
        <w:ind w:left="0" w:right="36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(6) The Recorder Judge shall–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85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16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8" w:after="0"/>
              <w:ind w:left="94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sit separately and exercise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powers vested in him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(3);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840"/>
        </w:trPr>
        <w:tc>
          <w:tcPr>
            <w:tcW w:type="dxa" w:w="2255"/>
            <w:vMerge/>
            <w:tcBorders/>
          </w:tcPr>
          <w:p/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2" w:after="0"/>
              <w:ind w:left="94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the power to do all such acts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connected with or incidental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ancillary to the exercise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 referred to in subsection (3)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the maintenance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Journals of the Court;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8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5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2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0" w:after="0"/>
              <w:ind w:left="94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exercise the powers in relation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pre-trial conferences as specified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195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Code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Criminal Procedure Act, No. 15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1979 only in respect of matters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High Court exercises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3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16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" w:after="0"/>
              <w:ind w:left="2114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criminal jurisdiction in terms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9 and shall not exercise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 in respect of matters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High Court is called upon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exercise appellate, revisionary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 jurisdiction.”.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6" w:val="left"/>
              </w:tabs>
              <w:autoSpaceDE w:val="0"/>
              <w:widowControl/>
              <w:spacing w:line="278" w:lineRule="exact" w:before="122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602" w:space="0"/>
            <w:col w:w="341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6"/>
        <w:ind w:left="0" w:right="0"/>
      </w:pPr>
    </w:p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64"/>
        </w:trPr>
        <w:tc>
          <w:tcPr>
            <w:tcW w:type="dxa" w:w="4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6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Judicature (Amendment)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1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12" w:lineRule="exact" w:before="9116" w:after="0"/>
        <w:ind w:left="0" w:right="32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5602" w:space="0"/>
        <w:col w:w="3417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