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29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November 19, 2021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5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19.11.2021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exact" w:before="304" w:after="0"/>
        <w:ind w:left="2304" w:right="216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FAUNA  AND  FLORA  PROTECTION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332" w:lineRule="exact" w:before="192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0" w:lineRule="exact" w:before="228" w:after="0"/>
        <w:ind w:left="2304" w:right="216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Fauna and Flora Protection Ordinance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(Chapter 469)</w:t>
      </w:r>
    </w:p>
    <w:p>
      <w:pPr>
        <w:autoSpaceDN w:val="0"/>
        <w:autoSpaceDE w:val="0"/>
        <w:widowControl/>
        <w:spacing w:line="244" w:lineRule="exact" w:before="25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 Wildlife and Forest Conservation</w:t>
      </w:r>
    </w:p>
    <w:p>
      <w:pPr>
        <w:autoSpaceDN w:val="0"/>
        <w:autoSpaceDE w:val="0"/>
        <w:widowControl/>
        <w:spacing w:line="235" w:lineRule="auto" w:before="342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214" w:after="0"/>
        <w:ind w:left="1342" w:right="1434" w:firstLine="26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replaces the long title to the Fauna and Flora Protection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469)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 is to expand the scope of the principal enactment.</w:t>
      </w:r>
    </w:p>
    <w:p>
      <w:pPr>
        <w:autoSpaceDN w:val="0"/>
        <w:autoSpaceDE w:val="0"/>
        <w:widowControl/>
        <w:spacing w:line="247" w:lineRule="auto" w:before="210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71 of the principal enactment and the legal effect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empower the Minister to make regulations in order to give effect to the Convention </w:t>
      </w:r>
      <w:r>
        <w:rPr>
          <w:rFonts w:ascii="Times" w:hAnsi="Times" w:eastAsia="Times"/>
          <w:b w:val="0"/>
          <w:i w:val="0"/>
          <w:color w:val="000000"/>
          <w:sz w:val="16"/>
        </w:rPr>
        <w:t>on International Trade in Endangered Species of Wild Fauna and Flora (CITES).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Fauna and Flora Protection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D.— O. 13/2017</w:t>
      </w:r>
    </w:p>
    <w:p>
      <w:pPr>
        <w:autoSpaceDN w:val="0"/>
        <w:autoSpaceDE w:val="0"/>
        <w:widowControl/>
        <w:spacing w:line="254" w:lineRule="auto" w:before="29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AUNA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LORA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469)</w:t>
      </w:r>
    </w:p>
    <w:p>
      <w:pPr>
        <w:autoSpaceDN w:val="0"/>
        <w:autoSpaceDE w:val="0"/>
        <w:widowControl/>
        <w:spacing w:line="254" w:lineRule="auto" w:before="294" w:after="17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Fauna and Flora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7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Protection (Amendment) Act, No. 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long title to the Fauna and Flora Protection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469)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Long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Title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“principal enactment”) is hereby repealed and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469)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long title substituted therefor:—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18" w:val="left"/>
          <w:tab w:pos="2378" w:val="left"/>
        </w:tabs>
        <w:autoSpaceDE w:val="0"/>
        <w:widowControl/>
        <w:spacing w:line="269" w:lineRule="auto" w:before="172" w:after="17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“An Ordinance to provide for the protection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conservation of the Fauna and Flora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their habitats; for the prevention of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misuse of such Fauna and Flora and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habitats; for the conservation of biodiversity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Lanka; to take such measures to give effect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convention on International Trade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Endangered species of Wild Fauna and Flora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(CITES); and to provide for matters connected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therewith or incidental thereto.”.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thereof, by the insertion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71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6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fa</w:t>
      </w:r>
      <w:r>
        <w:rPr>
          <w:rFonts w:ascii="Times" w:hAnsi="Times" w:eastAsia="Times"/>
          <w:b w:val="0"/>
          <w:i w:val="0"/>
          <w:color w:val="000000"/>
          <w:sz w:val="20"/>
        </w:rPr>
        <w:t>) all matters necessary for the enforcement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Convention on International Trade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Endangered Species of Wild Fauna and Flora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(CITES), subject to the prior written approved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Fauna and Flora Protection (Amendment)</w:t>
      </w:r>
    </w:p>
    <w:p>
      <w:pPr>
        <w:autoSpaceDN w:val="0"/>
        <w:autoSpaceDE w:val="0"/>
        <w:widowControl/>
        <w:spacing w:line="264" w:lineRule="auto" w:before="496" w:after="16"/>
        <w:ind w:left="2422" w:right="2516" w:hanging="49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 of ad-hoc committees,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obtaining their recommendations on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 to be issued under the Convention on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Trade in Endangered Species of Wild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Fauna and Flora (CITES);”.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484"/>
        </w:trPr>
        <w:tc>
          <w:tcPr>
            <w:tcW w:type="dxa" w:w="47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Fauna and Flora Protection (Amendment)</w:t>
            </w:r>
          </w:p>
        </w:tc>
        <w:tc>
          <w:tcPr>
            <w:tcW w:type="dxa" w:w="14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