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69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1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320" w:after="0"/>
        <w:ind w:left="195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CIVIL  PROCEDURE CODE (AMENDMENT)</w:t>
      </w:r>
    </w:p>
    <w:p>
      <w:pPr>
        <w:autoSpaceDN w:val="0"/>
        <w:autoSpaceDE w:val="0"/>
        <w:widowControl/>
        <w:spacing w:line="332" w:lineRule="exact" w:before="29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4" w:lineRule="exact" w:before="37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02" w:after="0"/>
        <w:ind w:left="0" w:right="2450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Civil Procedure Code (Chapter 101)</w:t>
      </w:r>
    </w:p>
    <w:p>
      <w:pPr>
        <w:autoSpaceDN w:val="0"/>
        <w:autoSpaceDE w:val="0"/>
        <w:widowControl/>
        <w:spacing w:line="244" w:lineRule="exact" w:before="25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62" w:after="0"/>
        <w:ind w:left="18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Justice on 22nd of November, 2021</w:t>
      </w:r>
    </w:p>
    <w:p>
      <w:pPr>
        <w:autoSpaceDN w:val="0"/>
        <w:autoSpaceDE w:val="0"/>
        <w:widowControl/>
        <w:spacing w:line="266" w:lineRule="exact" w:before="216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07, 2021)</w:t>
      </w:r>
    </w:p>
    <w:p>
      <w:pPr>
        <w:autoSpaceDN w:val="0"/>
        <w:autoSpaceDE w:val="0"/>
        <w:widowControl/>
        <w:spacing w:line="244" w:lineRule="exact" w:before="234" w:after="9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1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6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95]</w:t>
            </w:r>
          </w:p>
        </w:tc>
        <w:tc>
          <w:tcPr>
            <w:tcW w:type="dxa" w:w="45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14" w:lineRule="exact" w:before="22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6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92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12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02" w:lineRule="exact" w:before="20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88 of the Civil Procedure Code (Chapter 101)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the section as amended is to provide for an appeal to the Provincial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 Court with leave obtained first in case of an order setting aside or refusing to set aside </w:t>
      </w:r>
      <w:r>
        <w:rPr>
          <w:rFonts w:ascii="Times" w:hAnsi="Times" w:eastAsia="Times"/>
          <w:b w:val="0"/>
          <w:i w:val="0"/>
          <w:color w:val="000000"/>
          <w:sz w:val="16"/>
        </w:rPr>
        <w:t>the judgment entered upon default.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956" w:val="left"/>
        </w:tabs>
        <w:autoSpaceDE w:val="0"/>
        <w:widowControl/>
        <w:spacing w:line="420" w:lineRule="exact" w:before="264" w:after="17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29/2021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6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exact" w:before="100" w:after="0"/>
              <w:ind w:left="9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Civil Procedure Code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of 2021.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80" w:lineRule="exact" w:before="13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88 of the Civil Procedure Code (Chapter 101)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hereby amended by the repeal of subsection (2)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88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and the substitution of the following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“(2) The order setting aside or refusing to set aside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9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judgment entered upon default shall accompany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facts upon which it is adjudicated and specify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upon which it is made, and shall be liable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appeal to the relevant High Court established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154P of the Constitution, with leave first had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obtained from such High Court.”.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26"/>
        </w:trPr>
        <w:tc>
          <w:tcPr>
            <w:tcW w:type="dxa" w:w="8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14" w:lineRule="exact" w:before="36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