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584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288" w:after="0"/>
        <w:ind w:left="0" w:right="296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Part II of November 19, 2021</w:t>
      </w:r>
    </w:p>
    <w:p>
      <w:pPr>
        <w:autoSpaceDN w:val="0"/>
        <w:autoSpaceDE w:val="0"/>
        <w:widowControl/>
        <w:spacing w:line="332" w:lineRule="exact" w:before="244" w:after="0"/>
        <w:ind w:left="0" w:right="363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242" w:after="0"/>
        <w:ind w:left="0" w:right="335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(</w:t>
      </w:r>
      <w:r>
        <w:rPr>
          <w:rFonts w:ascii="TimesNewRoman,Italic" w:hAnsi="TimesNewRoman,Italic" w:eastAsia="TimesNewRoman,Italic"/>
          <w:b w:val="0"/>
          <w:i/>
          <w:color w:val="221F1F"/>
          <w:sz w:val="24"/>
        </w:rPr>
        <w:t>Issued on 22.11.2021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14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2" w:lineRule="exact" w:before="420" w:after="0"/>
        <w:ind w:left="1584" w:right="1584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26"/>
        </w:rPr>
        <w:t xml:space="preserve">PROVINCIAL COUNCILS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26"/>
        </w:rPr>
        <w:t>(TRANSFER OF STAMP DUTY) (AMENDMENT)</w:t>
      </w:r>
    </w:p>
    <w:p>
      <w:pPr>
        <w:autoSpaceDN w:val="0"/>
        <w:autoSpaceDE w:val="0"/>
        <w:widowControl/>
        <w:spacing w:line="334" w:lineRule="exact" w:before="176" w:after="0"/>
        <w:ind w:left="0" w:right="437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192" w:after="0"/>
        <w:ind w:left="0" w:right="416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0" w:lineRule="exact" w:before="178" w:after="0"/>
        <w:ind w:left="2016" w:right="1872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to amend the Provincial Councils (Transfer of Stamp Duty) 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Act, No. 13 of 2011</w:t>
      </w:r>
    </w:p>
    <w:p>
      <w:pPr>
        <w:autoSpaceDN w:val="0"/>
        <w:autoSpaceDE w:val="0"/>
        <w:widowControl/>
        <w:spacing w:line="244" w:lineRule="exact" w:before="258" w:after="0"/>
        <w:ind w:left="0" w:right="0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Ordered to be published by the Minister of  Finance</w:t>
      </w:r>
    </w:p>
    <w:p>
      <w:pPr>
        <w:autoSpaceDN w:val="0"/>
        <w:autoSpaceDE w:val="0"/>
        <w:widowControl/>
        <w:spacing w:line="235" w:lineRule="auto" w:before="342" w:after="0"/>
        <w:ind w:left="0" w:right="2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25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84" w:val="left"/>
        </w:tabs>
        <w:autoSpaceDE w:val="0"/>
        <w:widowControl/>
        <w:spacing w:line="238" w:lineRule="auto" w:before="152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152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30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4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5" w:lineRule="auto" w:before="406" w:after="0"/>
        <w:ind w:left="1342" w:right="1436" w:firstLine="26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2 of the Provincial Councils (Transfer of Stamp Duty)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Act, No. 13 of 2011 and the legal effect of the section as amended is to provide for refunding any </w:t>
      </w:r>
      <w:r>
        <w:rPr>
          <w:rFonts w:ascii="Times" w:hAnsi="Times" w:eastAsia="Times"/>
          <w:b w:val="0"/>
          <w:i w:val="0"/>
          <w:color w:val="000000"/>
          <w:sz w:val="16"/>
        </w:rPr>
        <w:t>stamp duty overpaid or erroneously paid.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8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7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Provincial Councils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26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(Transfer of Stamp Duty) (Amendment)</w:t>
      </w:r>
    </w:p>
    <w:p>
      <w:pPr>
        <w:autoSpaceDN w:val="0"/>
        <w:autoSpaceDE w:val="0"/>
        <w:widowControl/>
        <w:spacing w:line="238" w:lineRule="auto" w:before="26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D.— O. 33/2021</w:t>
      </w:r>
    </w:p>
    <w:p>
      <w:pPr>
        <w:autoSpaceDN w:val="0"/>
        <w:autoSpaceDE w:val="0"/>
        <w:widowControl/>
        <w:spacing w:line="250" w:lineRule="auto" w:before="276" w:after="0"/>
        <w:ind w:left="2304" w:right="288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ROVINCIAL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OUNCILS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(T</w:t>
      </w:r>
      <w:r>
        <w:rPr>
          <w:rFonts w:ascii="Times" w:hAnsi="Times" w:eastAsia="Times"/>
          <w:b w:val="0"/>
          <w:i w:val="0"/>
          <w:color w:val="000000"/>
          <w:sz w:val="14"/>
        </w:rPr>
        <w:t>RANSFER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TAMP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UTY</w:t>
      </w:r>
      <w:r>
        <w:rPr>
          <w:rFonts w:ascii="Times" w:hAnsi="Times" w:eastAsia="Times"/>
          <w:b w:val="0"/>
          <w:i w:val="0"/>
          <w:color w:val="000000"/>
          <w:sz w:val="20"/>
        </w:rPr>
        <w:t>)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13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2011</w:t>
      </w:r>
    </w:p>
    <w:p>
      <w:pPr>
        <w:autoSpaceDN w:val="0"/>
        <w:autoSpaceDE w:val="0"/>
        <w:widowControl/>
        <w:spacing w:line="250" w:lineRule="auto" w:before="276" w:after="16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Provincial Councils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10" w:after="168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(Transfer of Stamp Duty) (Amendment) Act, No.   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25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2 of the Provincial Councils (Transfer of Stamp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Duty) Act, No. 13 of 2011 is hereby amended as follows:—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section 2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Act, No.</w:t>
            </w:r>
          </w:p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renumbering of section 2 as subsection (1)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 of 2011</w:t>
            </w:r>
          </w:p>
        </w:tc>
      </w:tr>
    </w:tbl>
    <w:p>
      <w:pPr>
        <w:autoSpaceDN w:val="0"/>
        <w:autoSpaceDE w:val="0"/>
        <w:widowControl/>
        <w:spacing w:line="238" w:lineRule="auto" w:before="12" w:after="164"/>
        <w:ind w:left="0" w:right="52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that section;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renumbered subsection (1) of that section, by the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“revenue so collected.”,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4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the following words:—</w:t>
      </w:r>
    </w:p>
    <w:p>
      <w:pPr>
        <w:autoSpaceDN w:val="0"/>
        <w:autoSpaceDE w:val="0"/>
        <w:widowControl/>
        <w:spacing w:line="235" w:lineRule="auto" w:before="228" w:after="0"/>
        <w:ind w:left="0" w:right="46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“revenue so collected:</w:t>
      </w:r>
    </w:p>
    <w:p>
      <w:pPr>
        <w:autoSpaceDN w:val="0"/>
        <w:tabs>
          <w:tab w:pos="2516" w:val="left"/>
          <w:tab w:pos="2716" w:val="left"/>
        </w:tabs>
        <w:autoSpaceDE w:val="0"/>
        <w:widowControl/>
        <w:spacing w:line="257" w:lineRule="auto" w:before="22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any person who proves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satisfaction of the Commissioner-General by a claim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made in writing that he has paid any stamp duty—</w:t>
      </w:r>
    </w:p>
    <w:p>
      <w:pPr>
        <w:autoSpaceDN w:val="0"/>
        <w:tabs>
          <w:tab w:pos="3116" w:val="left"/>
        </w:tabs>
        <w:autoSpaceDE w:val="0"/>
        <w:widowControl/>
        <w:spacing w:line="250" w:lineRule="auto" w:before="220" w:after="0"/>
        <w:ind w:left="27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excess of the amount properly payable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him; or</w:t>
      </w:r>
    </w:p>
    <w:p>
      <w:pPr>
        <w:autoSpaceDN w:val="0"/>
        <w:autoSpaceDE w:val="0"/>
        <w:widowControl/>
        <w:spacing w:line="250" w:lineRule="auto" w:before="228" w:after="0"/>
        <w:ind w:left="3116" w:right="2304" w:hanging="344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erroneously on an instrument to which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stamp duty relates and is found that he was</w:t>
      </w:r>
    </w:p>
    <w:p>
      <w:pPr>
        <w:autoSpaceDN w:val="0"/>
        <w:tabs>
          <w:tab w:pos="3116" w:val="left"/>
        </w:tabs>
        <w:autoSpaceDE w:val="0"/>
        <w:widowControl/>
        <w:spacing w:line="254" w:lineRule="auto" w:before="2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liable to pay such stamp duty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the Stamp Duty (Special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Provisions) Act, No. 12 of 2006,</w:t>
      </w:r>
    </w:p>
    <w:p>
      <w:pPr>
        <w:autoSpaceDN w:val="0"/>
        <w:tabs>
          <w:tab w:pos="2516" w:val="left"/>
        </w:tabs>
        <w:autoSpaceDE w:val="0"/>
        <w:widowControl/>
        <w:spacing w:line="259" w:lineRule="auto" w:before="22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refunded the amount so paid, out of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collected as stamp duty during any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prior to transfer to the Provincial Councils.”;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542" w:val="left"/>
          <w:tab w:pos="3278" w:val="left"/>
        </w:tabs>
        <w:autoSpaceDE w:val="0"/>
        <w:widowControl/>
        <w:spacing w:line="228" w:lineRule="exact" w:before="38" w:after="0"/>
        <w:ind w:left="1702" w:right="331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Provincial Councils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(Transfer of Stamp Duty) (Amendment)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6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addition immediately after renumbered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 of the following:—</w:t>
      </w:r>
    </w:p>
    <w:p>
      <w:pPr>
        <w:autoSpaceDN w:val="0"/>
        <w:tabs>
          <w:tab w:pos="2422" w:val="left"/>
          <w:tab w:pos="2622" w:val="left"/>
        </w:tabs>
        <w:autoSpaceDE w:val="0"/>
        <w:widowControl/>
        <w:spacing w:line="264" w:lineRule="auto" w:before="234" w:after="0"/>
        <w:ind w:left="14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“(2) The provisions of section 11 of the Stamp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Duty (Special Provisions) Act, No. 12 of 2006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apply to all claims for refund under this section.</w:t>
      </w:r>
    </w:p>
    <w:p>
      <w:pPr>
        <w:autoSpaceDN w:val="0"/>
        <w:autoSpaceDE w:val="0"/>
        <w:widowControl/>
        <w:spacing w:line="262" w:lineRule="auto" w:before="218" w:after="174"/>
        <w:ind w:left="2422" w:right="251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(3) For the purpose of this section,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“Commissioner-General” shall have the same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meaning as in the Inland Revenue Act, No. 24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2017.”.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92"/>
        <w:ind w:left="0" w:right="0"/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8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4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7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Provincial Councils</w:t>
            </w:r>
          </w:p>
        </w:tc>
        <w:tc>
          <w:tcPr>
            <w:tcW w:type="dxa" w:w="2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26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(Transfer of Stamp Duty) (Amendment)</w:t>
      </w:r>
    </w:p>
    <w:p>
      <w:pPr>
        <w:autoSpaceDN w:val="0"/>
        <w:autoSpaceDE w:val="0"/>
        <w:widowControl/>
        <w:spacing w:line="235" w:lineRule="auto" w:before="8952" w:after="0"/>
        <w:ind w:left="0" w:right="32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