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19, 2021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23.11.2021)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SUGEESWARA WICKRAMASINGHE </w:t>
      </w:r>
      <w:r>
        <w:rPr>
          <w:rFonts w:ascii="Times,Bold" w:hAnsi="Times,Bold" w:eastAsia="Times,Bold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20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Sugeeswara Wickramasinghe Foundation</w:t>
      </w:r>
    </w:p>
    <w:p>
      <w:pPr>
        <w:autoSpaceDN w:val="0"/>
        <w:autoSpaceDE w:val="0"/>
        <w:widowControl/>
        <w:spacing w:line="245" w:lineRule="auto" w:before="276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Weerasumana Weerasinghe,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Sugeeswara Wickramasinghe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UGEESWARA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ICKRAMASINGHE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“Sugeeswara Wickramasinghe Foundation”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objects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Sugeeswara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Wickramasinghe Foundation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Incorporation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Sugeeswara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 Sugeeswara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Wickramasinghe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Wickramasinghe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0" w:after="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“Sugeeswara Wickramasinghe Foundation”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“Corporation”) and by that name may 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be sued, and have full power and  authority to have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a common 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social, cultural and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and to maintain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discipline and 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worships places;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in the development of educational,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deference to race, religion or cast;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 goodwill, understanding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co-operation among all communities and people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needy school children to enable them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continue their education;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7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not exceeding eleven members,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Chairman, Secretary and Treasurer elected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221F1F"/>
          <w:sz w:val="20"/>
        </w:rPr>
        <w:t>on the day immediately preceding the date of commencement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202"/>
        <w:ind w:left="27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16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86" w:val="left"/>
        </w:tabs>
        <w:autoSpaceDE w:val="0"/>
        <w:widowControl/>
        <w:spacing w:line="262" w:lineRule="auto" w:before="14" w:after="134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engage,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370"/>
        </w:trPr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2086" w:val="left"/>
        </w:tabs>
        <w:autoSpaceDE w:val="0"/>
        <w:widowControl/>
        <w:spacing w:line="257" w:lineRule="auto" w:before="14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 present 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matters:–</w:t>
      </w:r>
    </w:p>
    <w:p>
      <w:pPr>
        <w:autoSpaceDN w:val="0"/>
        <w:tabs>
          <w:tab w:pos="2806" w:val="left"/>
        </w:tabs>
        <w:autoSpaceDE w:val="0"/>
        <w:widowControl/>
        <w:spacing w:line="252" w:lineRule="auto" w:before="278" w:after="222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resignation  from,</w:t>
            </w:r>
          </w:p>
        </w:tc>
      </w:tr>
      <w:tr>
        <w:trPr>
          <w:trHeight w:hRule="exact" w:val="268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tabs>
          <w:tab w:pos="2806" w:val="left"/>
        </w:tabs>
        <w:autoSpaceDE w:val="0"/>
        <w:widowControl/>
        <w:spacing w:line="252" w:lineRule="auto" w:before="278" w:after="222"/>
        <w:ind w:left="24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0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 agents and servants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14" w:val="left"/>
          <w:tab w:pos="2806" w:val="left"/>
        </w:tabs>
        <w:autoSpaceDE w:val="0"/>
        <w:widowControl/>
        <w:spacing w:line="259" w:lineRule="auto" w:before="252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1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4" w:val="left"/>
        </w:tabs>
        <w:autoSpaceDE w:val="0"/>
        <w:widowControl/>
        <w:spacing w:line="245" w:lineRule="auto" w:before="240" w:after="17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members of Corporation shall 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and subscriptions and contributions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 the Foundation on that day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or more banks as the Corporation shall determine.</w:t>
      </w:r>
    </w:p>
    <w:p>
      <w:pPr>
        <w:autoSpaceDN w:val="0"/>
        <w:autoSpaceDE w:val="0"/>
        <w:widowControl/>
        <w:spacing w:line="252" w:lineRule="auto" w:before="266" w:after="19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subject to the rules in force for time being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Corporation, with full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6"/>
        <w:ind w:left="24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51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and expenditure account and balance sheet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35" w:lineRule="auto" w:before="266" w:after="2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</w:tbl>
    <w:p>
      <w:pPr>
        <w:autoSpaceDN w:val="0"/>
        <w:autoSpaceDE w:val="0"/>
        <w:widowControl/>
        <w:spacing w:line="252" w:lineRule="auto" w:before="4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878" w:val="left"/>
          <w:tab w:pos="288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8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of the Corporation, who shall sign their names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Sugeeswara Wickramasinghe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