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19, 2021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24.11.2021)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CENTRE FOR SKILLS DEVELOPMENT </w:t>
      </w:r>
      <w:r>
        <w:rPr>
          <w:rFonts w:ascii="Times,Bold" w:hAnsi="Times,Bold" w:eastAsia="Times,Bold"/>
          <w:b/>
          <w:i w:val="0"/>
          <w:color w:val="221F1F"/>
          <w:sz w:val="28"/>
        </w:rPr>
        <w:t>STUDIES (INCORPORATION)</w:t>
      </w:r>
    </w:p>
    <w:p>
      <w:pPr>
        <w:autoSpaceDN w:val="0"/>
        <w:autoSpaceDE w:val="0"/>
        <w:widowControl/>
        <w:spacing w:line="235" w:lineRule="auto" w:before="258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8" w:after="0"/>
        <w:ind w:left="21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Centre for Skills Development Studies</w:t>
      </w:r>
    </w:p>
    <w:p>
      <w:pPr>
        <w:autoSpaceDN w:val="0"/>
        <w:autoSpaceDE w:val="0"/>
        <w:widowControl/>
        <w:spacing w:line="245" w:lineRule="auto" w:before="276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Rohini Kumari Wijeratne,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Matale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Centre for Skills Development Studies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KILLS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TUDIES</w:t>
      </w:r>
    </w:p>
    <w:p>
      <w:pPr>
        <w:autoSpaceDN w:val="0"/>
        <w:tabs>
          <w:tab w:pos="1796" w:val="left"/>
          <w:tab w:pos="1798" w:val="left"/>
          <w:tab w:pos="6736" w:val="left"/>
        </w:tabs>
        <w:autoSpaceDE w:val="0"/>
        <w:widowControl/>
        <w:spacing w:line="252" w:lineRule="auto" w:before="26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“Centre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Skills Development Studies” has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centre according to the 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Centre has heretofore successfully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several objects and matters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formed and has applied to be  incorporated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will be for the public advantage to grant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64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Centre for Skills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Studies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“Centre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Centre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Skills Development Studies”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Skills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“Centre”) or shall hereafter be admitted as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hereby constituted, shall be a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Studies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 “Centre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Skills Development Studies)”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“body corporate”) and by that name may sue and be sued, </w:t>
      </w:r>
      <w:r>
        <w:rPr>
          <w:rFonts w:ascii="Times" w:hAnsi="Times" w:eastAsia="Times"/>
          <w:b w:val="0"/>
          <w:i w:val="0"/>
          <w:color w:val="221F1F"/>
          <w:sz w:val="20"/>
        </w:rPr>
        <w:t>and have full power and  authority to have and use a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education in Skills Development at 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6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level;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motivation programmes to encourage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2" w:after="23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self-employment opportunities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unemployed;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and hold training, seminars, conferences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similar activities for the purpose of promoting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legal profession and Skills Development courses;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4" w:after="24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information technology centers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scientific studies;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in the development of educational,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religious, cultural, aesthetic and sports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any deference to race, religion or cast;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6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students who prepare for law entrance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examinations by conducting lecture series, seminars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study of tours; and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and foreign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46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body corporate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body corporate be administered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4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Management consisting of Chairman,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Secretary, Treasurer another two members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Governors Board holding office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commencement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194"/>
        <w:ind w:left="295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7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43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furtherance of the objects of the body corporate or any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47" w:lineRule="auto" w:before="8" w:after="194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of them, to open, operate and close bank accounts,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or raise moneys with or without security to 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collect or accept grants and donations to invest its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body corporate and to engage, employ and dismiss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servants required for the carrying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2"/>
        <w:gridCol w:w="1862"/>
        <w:gridCol w:w="1862"/>
        <w:gridCol w:w="1862"/>
        <w:gridCol w:w="1862"/>
      </w:tblGrid>
      <w:tr>
        <w:trPr>
          <w:trHeight w:hRule="exact" w:val="280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36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members and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44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majority of not less than two-thirds of the members  present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rules, not inconsistent with the provisions of this Act</w:t>
            </w:r>
          </w:p>
        </w:tc>
        <w:tc>
          <w:tcPr>
            <w:tcW w:type="dxa" w:w="18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0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on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matters:–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54" w:after="194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resignation  from,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54" w:after="6"/>
        <w:ind w:left="24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4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duration of term of office;</w:t>
            </w:r>
          </w:p>
        </w:tc>
      </w:tr>
      <w:tr>
        <w:trPr>
          <w:trHeight w:hRule="exact" w:val="37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5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Committee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0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of the time, places, notices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thereof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business thereof;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18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of the body corporate the custody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and the maintenance and audit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corporate,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body corporate may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members of body corporate shall  be subject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body corporate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 by the body corporate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body corporate on that day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paid to the body corporate for the purposes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contribution, fees or grants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body corporate shall be deposited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credit of the body corporate in one or more banks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Committee of Management shall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There shall be paid out of the fund, all sums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defray any expenditure incurred by the body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acquire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any property, movable and immovable which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lease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06, with 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body corporate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body corporate, but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given or transferred to some other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having objects similar to those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and which, is  or are by its or their rules prohibited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from distributing any income or property among its 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 of the body corporate.</w:t>
      </w:r>
    </w:p>
    <w:p>
      <w:pPr>
        <w:autoSpaceDN w:val="0"/>
        <w:autoSpaceDE w:val="0"/>
        <w:widowControl/>
        <w:spacing w:line="245" w:lineRule="auto" w:before="230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Auditor General or qualified auditor appointed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Auditor General in terms of Article 154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70" w:after="17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 other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law, possesses a certificate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Lanka, or any other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Centre for Skills Development Studies</w:t>
      </w:r>
    </w:p>
    <w:p>
      <w:pPr>
        <w:autoSpaceDN w:val="0"/>
        <w:autoSpaceDE w:val="0"/>
        <w:widowControl/>
        <w:spacing w:line="235" w:lineRule="auto" w:before="14" w:after="194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corporate, shall not be affixed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 except in the presence of two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names to the instrument in token of their presence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signing shall be independent of the signing of any person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9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1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Centre for Skills Development Studies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