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0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SUGEESWARA WICKRAMASINGHE </w:t>
      </w:r>
      <w:r>
        <w:rPr>
          <w:rFonts w:ascii="Times,Bold" w:hAnsi="Times,Bold" w:eastAsia="Times,Bold"/>
          <w:b/>
          <w:i w:val="0"/>
          <w:color w:val="221F1F"/>
          <w:sz w:val="28"/>
        </w:rPr>
        <w:t>FOUNDATION (INCORPORATION)</w:t>
      </w:r>
    </w:p>
    <w:p>
      <w:pPr>
        <w:autoSpaceDN w:val="0"/>
        <w:autoSpaceDE w:val="0"/>
        <w:widowControl/>
        <w:spacing w:line="238" w:lineRule="auto" w:before="4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9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7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Sugeeswara Wickramasinghe Foundation</w:t>
      </w:r>
    </w:p>
    <w:p>
      <w:pPr>
        <w:autoSpaceDN w:val="0"/>
        <w:autoSpaceDE w:val="0"/>
        <w:widowControl/>
        <w:spacing w:line="238" w:lineRule="auto" w:before="35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Presented in Parliament by Hon. Weerasumana Weerasinghe,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 on 02nd of December, 2021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23, 2021)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96]</w:t>
      </w:r>
    </w:p>
    <w:p>
      <w:pPr>
        <w:autoSpaceDN w:val="0"/>
        <w:autoSpaceDE w:val="0"/>
        <w:widowControl/>
        <w:spacing w:line="245" w:lineRule="auto" w:before="90" w:after="2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9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88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Sugeeswara Wickramasinghe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UGEESWARA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ICKRAMASINGHE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2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“Sugeeswara Wickramasinghe Foundation”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objects matters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Sugeeswara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Wickramasinghe Foundation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Incorporation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Sugeeswara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 Sugeeswara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Wickramasinghe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Wickramasinghe Foundation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Foundation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0" w:after="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“Sugeeswara Wickramasinghe Foundation”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“Corporation”) and by that name may 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be sued, and have full power and  authority to have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a common 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motivation programmes to encourage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participate in social, cultural and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measures to protect and to maintain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discipline and cultural values of the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worships places;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for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advancement of scientific studies;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towards to protect and develop all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in the development of educational,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religious, cultural, aesthetic and sports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any deference to race, religion or cast;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peace, goodwill, understanding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co-operation among all communities and people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needy school children to enable them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continue their education;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7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not exceeding eleven members,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Chairman, Secretary and Treasurer elected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221F1F"/>
          <w:sz w:val="20"/>
        </w:rPr>
        <w:t>on the day immediately preceding the date of commencement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202"/>
        <w:ind w:left="27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8.0" w:type="dxa"/>
      </w:tblPr>
      <w:tblGrid>
        <w:gridCol w:w="3103"/>
        <w:gridCol w:w="3103"/>
        <w:gridCol w:w="3103"/>
      </w:tblGrid>
      <w:tr>
        <w:trPr>
          <w:trHeight w:hRule="exact" w:val="2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16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103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86" w:val="left"/>
        </w:tabs>
        <w:autoSpaceDE w:val="0"/>
        <w:widowControl/>
        <w:spacing w:line="262" w:lineRule="auto" w:before="14" w:after="134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borrow or raise moneys with or without security,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engage, employ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370"/>
        </w:trPr>
        <w:tc>
          <w:tcPr>
            <w:tcW w:type="dxa" w:w="1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2086" w:val="left"/>
        </w:tabs>
        <w:autoSpaceDE w:val="0"/>
        <w:widowControl/>
        <w:spacing w:line="257" w:lineRule="auto" w:before="14" w:after="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 present 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on all or any of the following matters:–</w:t>
      </w:r>
    </w:p>
    <w:p>
      <w:pPr>
        <w:autoSpaceDN w:val="0"/>
        <w:tabs>
          <w:tab w:pos="2806" w:val="left"/>
        </w:tabs>
        <w:autoSpaceDE w:val="0"/>
        <w:widowControl/>
        <w:spacing w:line="252" w:lineRule="auto" w:before="278" w:after="222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resignation  from,</w:t>
            </w:r>
          </w:p>
        </w:tc>
      </w:tr>
      <w:tr>
        <w:trPr>
          <w:trHeight w:hRule="exact" w:val="268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autoSpaceDN w:val="0"/>
        <w:tabs>
          <w:tab w:pos="2806" w:val="left"/>
        </w:tabs>
        <w:autoSpaceDE w:val="0"/>
        <w:widowControl/>
        <w:spacing w:line="252" w:lineRule="auto" w:before="278" w:after="222"/>
        <w:ind w:left="24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0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 agents and servants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14" w:val="left"/>
          <w:tab w:pos="2806" w:val="left"/>
        </w:tabs>
        <w:autoSpaceDE w:val="0"/>
        <w:widowControl/>
        <w:spacing w:line="259" w:lineRule="auto" w:before="252" w:after="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of the Corporation;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1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Corporation,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p>
      <w:pPr>
        <w:autoSpaceDN w:val="0"/>
        <w:tabs>
          <w:tab w:pos="1942" w:val="left"/>
          <w:tab w:pos="2424" w:val="left"/>
        </w:tabs>
        <w:autoSpaceDE w:val="0"/>
        <w:widowControl/>
        <w:spacing w:line="245" w:lineRule="auto" w:before="240" w:after="17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members of Corporation shall 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and subscriptions and contributions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to the Foundation on that day shall be paid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contribution, fees or grants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one or more banks as the Corporation shall determine.</w:t>
      </w:r>
    </w:p>
    <w:p>
      <w:pPr>
        <w:autoSpaceDN w:val="0"/>
        <w:autoSpaceDE w:val="0"/>
        <w:widowControl/>
        <w:spacing w:line="252" w:lineRule="auto" w:before="266" w:after="19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subject to the rules in force for time being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Corporation, with full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6"/>
        <w:ind w:left="24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51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20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its 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and expenditure account and balance sheet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Management.</w:t>
      </w:r>
    </w:p>
    <w:p>
      <w:pPr>
        <w:autoSpaceDN w:val="0"/>
        <w:autoSpaceDE w:val="0"/>
        <w:widowControl/>
        <w:spacing w:line="235" w:lineRule="auto" w:before="266" w:after="20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</w:tbl>
    <w:p>
      <w:pPr>
        <w:autoSpaceDN w:val="0"/>
        <w:autoSpaceDE w:val="0"/>
        <w:widowControl/>
        <w:spacing w:line="252" w:lineRule="auto" w:before="4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tabs>
          <w:tab w:pos="2878" w:val="left"/>
          <w:tab w:pos="288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18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Sugeeswara Wickramasinghe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of the Corporation, who shall sign their names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 in token of their presence and such signing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independent of the 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Sugeeswara Wickramasinghe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