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6" w:after="0"/>
        <w:ind w:left="0" w:right="299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December 10, 2021</w:t>
      </w:r>
    </w:p>
    <w:p>
      <w:pPr>
        <w:autoSpaceDN w:val="0"/>
        <w:autoSpaceDE w:val="0"/>
        <w:widowControl/>
        <w:spacing w:line="238" w:lineRule="auto" w:before="27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76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13.12.2021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42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20" w:after="0"/>
        <w:ind w:left="1872" w:right="1872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D</w:t>
      </w:r>
      <w:r>
        <w:rPr>
          <w:w w:val="98.82352492388557"/>
          <w:rFonts w:ascii="Times,Bold" w:hAnsi="Times,Bold" w:eastAsia="Times,Bold"/>
          <w:b/>
          <w:i w:val="0"/>
          <w:color w:val="221F1F"/>
          <w:sz w:val="17"/>
        </w:rPr>
        <w:t>R</w:t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. S. S. GUNAWARDANA INDIGENOUS </w:t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AYURVEDA DEVELOPMENT FOUNDATION </w:t>
      </w:r>
      <w:r>
        <w:rPr>
          <w:rFonts w:ascii="Times,Bold" w:hAnsi="Times,Bold" w:eastAsia="Times,Bold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238" w:lineRule="auto" w:before="176" w:after="0"/>
        <w:ind w:left="0" w:right="344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8" w:lineRule="auto" w:before="180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174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45" w:lineRule="auto" w:before="188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incorporate the Dr. S. S. Gunawardana Indigenous Ayurveda </w:t>
      </w:r>
      <w:r>
        <w:rPr>
          <w:rFonts w:ascii="Times,Bold" w:hAnsi="Times,Bold" w:eastAsia="Times,Bold"/>
          <w:b/>
          <w:i w:val="0"/>
          <w:color w:val="221F1F"/>
          <w:sz w:val="20"/>
        </w:rPr>
        <w:t>Development Foundation</w:t>
      </w:r>
    </w:p>
    <w:p>
      <w:pPr>
        <w:autoSpaceDN w:val="0"/>
        <w:autoSpaceDE w:val="0"/>
        <w:widowControl/>
        <w:spacing w:line="245" w:lineRule="auto" w:before="174" w:after="0"/>
        <w:ind w:left="2016" w:right="1872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Hon. Rohana Bandara, M.P.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Anuradhapura District</w:t>
      </w:r>
    </w:p>
    <w:p>
      <w:pPr>
        <w:autoSpaceDN w:val="0"/>
        <w:autoSpaceDE w:val="0"/>
        <w:widowControl/>
        <w:spacing w:line="238" w:lineRule="auto" w:before="74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82" w:val="left"/>
        </w:tabs>
        <w:autoSpaceDE w:val="0"/>
        <w:widowControl/>
        <w:spacing w:line="235" w:lineRule="auto" w:before="84" w:after="0"/>
        <w:ind w:left="145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76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52"/>
        <w:ind w:left="0" w:right="0"/>
      </w:pPr>
    </w:p>
    <w:p>
      <w:pPr>
        <w:autoSpaceDN w:val="0"/>
        <w:autoSpaceDE w:val="0"/>
        <w:widowControl/>
        <w:spacing w:line="3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120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Dr. S. S. Gunawardana Indigenous Ayurveda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2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14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Development Foundation (Incorporation)</w:t>
      </w:r>
    </w:p>
    <w:p>
      <w:pPr>
        <w:autoSpaceDN w:val="0"/>
        <w:autoSpaceDE w:val="0"/>
        <w:widowControl/>
        <w:spacing w:line="254" w:lineRule="auto" w:before="514" w:after="0"/>
        <w:ind w:left="2016" w:right="259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R</w:t>
      </w:r>
      <w:r>
        <w:rPr>
          <w:rFonts w:ascii="Times" w:hAnsi="Times" w:eastAsia="Times"/>
          <w:b w:val="0"/>
          <w:i w:val="0"/>
          <w:color w:val="221F1F"/>
          <w:sz w:val="20"/>
        </w:rPr>
        <w:t>. S. S. G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UNAWARDANA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14"/>
        </w:rPr>
        <w:t>NDIGENOUS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YURVEDA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EVELOPMENT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p>
      <w:pPr>
        <w:autoSpaceDN w:val="0"/>
        <w:tabs>
          <w:tab w:pos="6718" w:val="left"/>
        </w:tabs>
        <w:autoSpaceDE w:val="0"/>
        <w:widowControl/>
        <w:spacing w:line="238" w:lineRule="auto" w:before="29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Foundation called and known as the “Dr. S. S.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</w:p>
    <w:p>
      <w:pPr>
        <w:autoSpaceDN w:val="0"/>
        <w:tabs>
          <w:tab w:pos="1798" w:val="left"/>
        </w:tabs>
        <w:autoSpaceDE w:val="0"/>
        <w:widowControl/>
        <w:spacing w:line="260" w:lineRule="exact" w:before="0" w:after="0"/>
        <w:ind w:left="150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Gunawardana Indigenous Ayurveda Development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Foundation” has heretofore been formed in Sri Lanka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effectually carrying out its objects and transacting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matters connected with the said Foundation according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rules agreed to by its members:</w:t>
      </w:r>
    </w:p>
    <w:p>
      <w:pPr>
        <w:autoSpaceDN w:val="0"/>
        <w:tabs>
          <w:tab w:pos="1798" w:val="left"/>
        </w:tabs>
        <w:autoSpaceDE w:val="0"/>
        <w:widowControl/>
        <w:spacing w:line="260" w:lineRule="exact" w:before="260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matters for which it was established, and has applied to be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 and it will be expedient to grant the said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application:</w:t>
      </w:r>
    </w:p>
    <w:p>
      <w:pPr>
        <w:autoSpaceDN w:val="0"/>
        <w:autoSpaceDE w:val="0"/>
        <w:widowControl/>
        <w:spacing w:line="254" w:lineRule="auto" w:before="292" w:after="23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exact" w:val="3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88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Dr. S. S. Gunawardana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268"/>
        </w:trPr>
        <w:tc>
          <w:tcPr>
            <w:tcW w:type="dxa" w:w="1289"/>
            <w:vMerge/>
            <w:tcBorders/>
          </w:tcPr>
          <w:p/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Indigenous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Ayurveda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Development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Foundation</w:t>
            </w:r>
          </w:p>
        </w:tc>
        <w:tc>
          <w:tcPr>
            <w:tcW w:type="dxa" w:w="128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23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(Incorporation) Act, No.   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12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From and after the date of commencement of this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 of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Dr. S. S.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such and so many persons as now are members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Gunawardana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Dr. S. S. Gunawardana Indigenous Ayurveda Development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Indigenous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Foundation (hereinafter referred to as the “Foundation”)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Ayurveda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hereafter be admitted as members of the Corporation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constituted, shall be a body corporate with perpetual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succession, under the name and style of the “Dr. S. S.</w:t>
      </w:r>
    </w:p>
    <w:p>
      <w:pPr>
        <w:autoSpaceDN w:val="0"/>
        <w:tabs>
          <w:tab w:pos="1798" w:val="left"/>
        </w:tabs>
        <w:autoSpaceDE w:val="0"/>
        <w:widowControl/>
        <w:spacing w:line="260" w:lineRule="exact" w:before="0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Gunawardana Indigenous Ayurveda Development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Foundation” (hereinafter referred to as the “Corporation”)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by  that name may sue and be sued, in all courts with full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power and authority to have and use a common seal and to</w:t>
      </w:r>
    </w:p>
    <w:p>
      <w:pPr>
        <w:autoSpaceDN w:val="0"/>
        <w:autoSpaceDE w:val="0"/>
        <w:widowControl/>
        <w:spacing w:line="238" w:lineRule="auto" w:before="5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alter the same at its pleasure.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172" w:val="left"/>
          <w:tab w:pos="2318" w:val="left"/>
        </w:tabs>
        <w:autoSpaceDE w:val="0"/>
        <w:widowControl/>
        <w:spacing w:line="228" w:lineRule="exact" w:before="38" w:after="0"/>
        <w:ind w:left="1596" w:right="316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Dr. S. S. Gunawardana Indigenous Ayurveda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Development Foundation (Incorporation)</w:t>
      </w:r>
    </w:p>
    <w:p>
      <w:pPr>
        <w:autoSpaceDN w:val="0"/>
        <w:autoSpaceDE w:val="0"/>
        <w:widowControl/>
        <w:spacing w:line="245" w:lineRule="auto" w:before="494" w:after="4"/>
        <w:ind w:left="1596" w:right="262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Corporation shall be deemed to be a voluntary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service organization within the meaning, and for the </w:t>
      </w:r>
      <w:r>
        <w:rPr>
          <w:rFonts w:ascii="Times" w:hAnsi="Times" w:eastAsia="Times"/>
          <w:b w:val="0"/>
          <w:i w:val="0"/>
          <w:color w:val="221F1F"/>
          <w:sz w:val="20"/>
        </w:rPr>
        <w:t>purpose of the Voluntary Social Service Organizations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" w:after="0"/>
              <w:ind w:left="0" w:right="8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(Registration and Supervision) Act, No. 31 of 1980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that Act shall apply to and in relation to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180"/>
        <w:ind w:left="15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management of the affairs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6" w:after="0"/>
              <w:ind w:left="0" w:right="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7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general objects for which the Corporation is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 —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take action in order to conduct research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field of indigenous Ayurvedic treatment and taking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0"/>
        <w:ind w:left="0" w:right="39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steps to continue in the same field;</w:t>
      </w:r>
    </w:p>
    <w:p>
      <w:pPr>
        <w:autoSpaceDN w:val="0"/>
        <w:tabs>
          <w:tab w:pos="2316" w:val="left"/>
        </w:tabs>
        <w:autoSpaceDE w:val="0"/>
        <w:widowControl/>
        <w:spacing w:line="245" w:lineRule="auto" w:before="242" w:after="146"/>
        <w:ind w:left="1900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widen the indigenous medical treatment facilities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offer safety medical treatment through it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Island and other parts of the world;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take necessary action to preserve the indigenous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316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medical treatment as well as the traditional medical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practices of Sri Lanka;</w:t>
      </w:r>
    </w:p>
    <w:p>
      <w:pPr>
        <w:autoSpaceDN w:val="0"/>
        <w:tabs>
          <w:tab w:pos="2316" w:val="left"/>
        </w:tabs>
        <w:autoSpaceDE w:val="0"/>
        <w:widowControl/>
        <w:spacing w:line="245" w:lineRule="auto" w:before="242" w:after="126"/>
        <w:ind w:left="1900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engage in developing the education of indigenous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medical practices;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44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create new medicinal herbal gardening to provide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28"/>
        <w:ind w:left="2316" w:right="26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poisonous free herbs for the development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indigenous Ayurveda medical practices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encourage the herbs plantation while providing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assistance to those engage in the same cultivation;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42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2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increase the knowledge of the indigenous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316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Ayurveda practices and its fundamental among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local and foreigners;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78" w:after="0"/>
              <w:ind w:left="0" w:right="20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establish a fully-fledged hospital in the district of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Anuradhapura in order that anyone could obtain a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formal and effective indigenous medical treatment;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64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520" w:val="left"/>
          <w:tab w:pos="6496" w:val="left"/>
        </w:tabs>
        <w:autoSpaceDE w:val="0"/>
        <w:widowControl/>
        <w:spacing w:line="248" w:lineRule="exact" w:before="0" w:after="0"/>
        <w:ind w:left="2400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Dr. S. S. Gunawardana Indigenous Ayurveda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Development Foundation (Incorporation)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494" w:after="152"/>
        <w:ind w:left="210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do all such other acts and things as are necessary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and incidental or conducive to the attainment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above objects.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3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2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6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In the implementation of the objects specified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 the Corporation shall ensure that such</w:t>
            </w:r>
          </w:p>
        </w:tc>
      </w:tr>
    </w:tbl>
    <w:p>
      <w:pPr>
        <w:autoSpaceDN w:val="0"/>
        <w:autoSpaceDE w:val="0"/>
        <w:widowControl/>
        <w:spacing w:line="250" w:lineRule="auto" w:before="8" w:after="206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shall be carried out without any discrimination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based on race, religion, language, caste, sex, Political opinion, </w:t>
      </w:r>
      <w:r>
        <w:rPr>
          <w:rFonts w:ascii="Times" w:hAnsi="Times" w:eastAsia="Times"/>
          <w:b w:val="0"/>
          <w:i w:val="0"/>
          <w:color w:val="221F1F"/>
          <w:sz w:val="20"/>
        </w:rPr>
        <w:t>place of birth or any of such gounds.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8" w:after="0"/>
              <w:ind w:left="0" w:right="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objects of the Corporation shall be carried out in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 to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manner so as not to create any conflict between the work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ensure no</w:t>
            </w:r>
          </w:p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conflict with</w:t>
            </w:r>
          </w:p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Corporation and any work being carried out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work of</w:t>
            </w:r>
          </w:p>
        </w:tc>
      </w:tr>
      <w:tr>
        <w:trPr>
          <w:trHeight w:hRule="exact" w:val="21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8" w:after="0"/>
              <w:ind w:left="0" w:right="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simultaneously by any Ministry or Department of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Ministry or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or any Provincial Council.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Central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 or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2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Subject to the provisions of this Act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Province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 of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shall be carried out by a Board of Management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Affairs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Corporation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“the Board”) consisting of such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15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 of office bearers as may be specified by the rules </w:t>
      </w:r>
      <w:r>
        <w:rPr>
          <w:rFonts w:ascii="Times" w:hAnsi="Times" w:eastAsia="Times"/>
          <w:b w:val="0"/>
          <w:i w:val="0"/>
          <w:color w:val="221F1F"/>
          <w:sz w:val="20"/>
        </w:rPr>
        <w:t>made under section 7.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8" w:after="0"/>
              <w:ind w:left="0" w:right="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Board of Directors of the foundation that holds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 on the day immediately preceding the date of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Act, shall function as the Board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until the first Board is appointed or elected in </w:t>
      </w:r>
      <w:r>
        <w:rPr>
          <w:rFonts w:ascii="Times" w:hAnsi="Times" w:eastAsia="Times"/>
          <w:b w:val="0"/>
          <w:i w:val="0"/>
          <w:color w:val="221F1F"/>
          <w:sz w:val="20"/>
        </w:rPr>
        <w:t>the manner provided for by rules made under section 7.</w:t>
      </w:r>
    </w:p>
    <w:p>
      <w:pPr>
        <w:autoSpaceDN w:val="0"/>
        <w:autoSpaceDE w:val="0"/>
        <w:widowControl/>
        <w:spacing w:line="238" w:lineRule="auto" w:before="218" w:after="4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The first Board of the Corporation shall be appointed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elected within one year of the date of commencement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Act.</w:t>
            </w:r>
          </w:p>
        </w:tc>
      </w:tr>
    </w:tbl>
    <w:p>
      <w:pPr>
        <w:autoSpaceDN w:val="0"/>
        <w:autoSpaceDE w:val="0"/>
        <w:widowControl/>
        <w:spacing w:line="247" w:lineRule="auto" w:before="160" w:after="1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Every office bearer of the Board including the </w:t>
      </w:r>
      <w:r>
        <w:rPr>
          <w:rFonts w:ascii="Times" w:hAnsi="Times" w:eastAsia="Times"/>
          <w:b w:val="0"/>
          <w:i w:val="0"/>
          <w:color w:val="000000"/>
          <w:sz w:val="20"/>
        </w:rPr>
        <w:t>patrons and advisors, shall be appointed or elected for a period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0" w:after="0"/>
              <w:ind w:left="0" w:right="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three years and any such office bearer, patron or advisor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eligible for re-appointment or re-election after lapse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 the said period of three years.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172" w:val="left"/>
          <w:tab w:pos="2318" w:val="left"/>
        </w:tabs>
        <w:autoSpaceDE w:val="0"/>
        <w:widowControl/>
        <w:spacing w:line="228" w:lineRule="exact" w:before="38" w:after="0"/>
        <w:ind w:left="1596" w:right="316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Dr. S. S. Gunawardana Indigenous Ayurveda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Development Foundation (Incorporation)</w:t>
      </w:r>
    </w:p>
    <w:p>
      <w:pPr>
        <w:autoSpaceDN w:val="0"/>
        <w:autoSpaceDE w:val="0"/>
        <w:widowControl/>
        <w:spacing w:line="254" w:lineRule="auto" w:before="490" w:after="0"/>
        <w:ind w:left="1596" w:right="26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the event of a vacancy occurring due to the death,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resignation, incapacity or removal from office of an office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bearer, the Board shall having regard to the rules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Corporation, elect or appoint a person to fill such vacancy.</w:t>
      </w:r>
    </w:p>
    <w:p>
      <w:pPr>
        <w:autoSpaceDN w:val="0"/>
        <w:tabs>
          <w:tab w:pos="1594" w:val="left"/>
          <w:tab w:pos="1836" w:val="left"/>
        </w:tabs>
        <w:autoSpaceDE w:val="0"/>
        <w:widowControl/>
        <w:spacing w:line="244" w:lineRule="exact" w:before="266" w:after="0"/>
        <w:ind w:left="1316" w:right="259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The person elected or appointed 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hold office only for the unexpired portion of the term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office of the member whom he succeeds.</w:t>
      </w:r>
    </w:p>
    <w:p>
      <w:pPr>
        <w:autoSpaceDN w:val="0"/>
        <w:autoSpaceDE w:val="0"/>
        <w:widowControl/>
        <w:spacing w:line="238" w:lineRule="auto" w:before="266" w:after="12"/>
        <w:ind w:left="183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The founder member of the Foundation Dr. S. 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23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8" w:after="0"/>
              <w:ind w:left="0" w:right="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Gunawardana shall be the first chairman of the Board of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Directors.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 of this Act and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Corporation shall have the power to do,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38" w:lineRule="auto" w:before="10" w:after="12"/>
        <w:ind w:left="15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perform and execute all such acts and matters as necessary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60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2" w:after="0"/>
              <w:ind w:left="0" w:right="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4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desirable for the promotion or any one of them, including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power —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purchase, acquire, rent, construct, renovate and</w:t>
            </w:r>
          </w:p>
        </w:tc>
      </w:tr>
    </w:tbl>
    <w:p>
      <w:pPr>
        <w:autoSpaceDN w:val="0"/>
        <w:autoSpaceDE w:val="0"/>
        <w:widowControl/>
        <w:spacing w:line="247" w:lineRule="auto" w:before="10" w:after="10"/>
        <w:ind w:left="2304" w:right="26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otherwise obtain lands or buildings which may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required for the purpose of the Corporation and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02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4" w:after="0"/>
              <w:ind w:left="0" w:right="41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" w:after="0"/>
              <w:ind w:left="434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deal with or dispose of the same as may be deemed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expedient with a view to promoting the objects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5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Corporation;</w:t>
      </w:r>
    </w:p>
    <w:p>
      <w:pPr>
        <w:autoSpaceDN w:val="0"/>
        <w:tabs>
          <w:tab w:pos="2314" w:val="left"/>
        </w:tabs>
        <w:autoSpaceDE w:val="0"/>
        <w:widowControl/>
        <w:spacing w:line="247" w:lineRule="auto" w:before="270" w:after="210"/>
        <w:ind w:left="1898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raise funds and receive grants, gifts or donations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cash or kind with or without security: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46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2" w:after="0"/>
              <w:ind w:left="0" w:right="4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434" w:right="1296" w:firstLine="2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that, the Board shall obtain the prior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approval of the Department of External</w:t>
            </w:r>
          </w:p>
        </w:tc>
      </w:tr>
    </w:tbl>
    <w:p>
      <w:pPr>
        <w:autoSpaceDN w:val="0"/>
        <w:autoSpaceDE w:val="0"/>
        <w:widowControl/>
        <w:spacing w:line="252" w:lineRule="auto" w:before="10" w:after="210"/>
        <w:ind w:left="2314" w:right="26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Resources of the Ministry of the Minister assigned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subject of  Finance in respect of all foreign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grants, gifts or donations made to the 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4" w:after="0"/>
              <w:ind w:left="0" w:right="2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make, draw, accept, discount, endorse, negotiate,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buy, sell and issue bills of exchange, cheques,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520" w:val="left"/>
          <w:tab w:pos="6496" w:val="left"/>
        </w:tabs>
        <w:autoSpaceDE w:val="0"/>
        <w:widowControl/>
        <w:spacing w:line="248" w:lineRule="exact" w:before="0" w:after="0"/>
        <w:ind w:left="2400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Dr. S. S. Gunawardana Indigenous Ayurveda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Development Foundation (Incorporation)</w:t>
      </w:r>
    </w:p>
    <w:p>
      <w:pPr>
        <w:autoSpaceDN w:val="0"/>
        <w:autoSpaceDE w:val="0"/>
        <w:widowControl/>
        <w:spacing w:line="254" w:lineRule="auto" w:before="502" w:after="22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promissory notes and other negotiable instruments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to open, operate and close accounts in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banks;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0" w:after="0"/>
              <w:ind w:left="0" w:right="2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invest any funds not immediately required for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purposes of the Corporation in such manner as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3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Board may determine;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280" w:after="1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undertake, accept, execute, perform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administer any lawful trust or any real or personal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4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4" w:after="0"/>
              <w:ind w:left="0" w:right="20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property with a view to promoting the objects of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Corporation;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appoint, employ, dismiss or terminate the services</w:t>
            </w:r>
          </w:p>
        </w:tc>
      </w:tr>
    </w:tbl>
    <w:p>
      <w:pPr>
        <w:autoSpaceDN w:val="0"/>
        <w:autoSpaceDE w:val="0"/>
        <w:widowControl/>
        <w:spacing w:line="250" w:lineRule="auto" w:before="14" w:after="14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officers and servants of the Corporation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exercise disciplinary control over them and to pay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4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6" w:after="0"/>
              <w:ind w:left="0" w:right="20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them such salaries, allowances and gratuities as may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determined by the Corporation;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do all other things as are necessary or expedient</w:t>
            </w:r>
          </w:p>
        </w:tc>
      </w:tr>
    </w:tbl>
    <w:p>
      <w:pPr>
        <w:autoSpaceDN w:val="0"/>
        <w:autoSpaceDE w:val="0"/>
        <w:widowControl/>
        <w:spacing w:line="250" w:lineRule="auto" w:before="14" w:after="222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proper and effective carrying out the objects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0" w:after="0"/>
              <w:ind w:left="0" w:right="4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Corporation, from time to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2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at any general meeting and by the votes of not less than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57" w:lineRule="auto" w:before="14" w:after="22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two thirds of the members present and voting, to make rules,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inconsistent with the provision of this Act, or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>written law, for all or any of the following matters:-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0" w:after="0"/>
              <w:ind w:left="0" w:right="2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classification of membership, admission,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withdrawal, expulsion or resignation of members and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4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fees payable by members;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282" w:after="0"/>
        <w:ind w:left="210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election of office bearers of the Board or vacation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or removal from office of office bearers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powers, duties and functions of the office bearers;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172" w:val="left"/>
          <w:tab w:pos="2318" w:val="left"/>
        </w:tabs>
        <w:autoSpaceDE w:val="0"/>
        <w:widowControl/>
        <w:spacing w:line="228" w:lineRule="exact" w:before="38" w:after="0"/>
        <w:ind w:left="1596" w:right="316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Dr. S. S. Gunawardana Indigenous Ayurveda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Development Foundation (Incorporation)</w:t>
      </w:r>
    </w:p>
    <w:p>
      <w:pPr>
        <w:autoSpaceDN w:val="0"/>
        <w:tabs>
          <w:tab w:pos="2316" w:val="left"/>
        </w:tabs>
        <w:autoSpaceDE w:val="0"/>
        <w:widowControl/>
        <w:spacing w:line="245" w:lineRule="auto" w:before="494" w:after="170"/>
        <w:ind w:left="191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terms and conditions of appointments, powers,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and duties of the various officers, agents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servants of the 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4" w:after="0"/>
              <w:ind w:left="0" w:right="2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procedure to be followed at the summoning and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holding of meetings of the Board, or any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2316" w:right="26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subcommittee thereof, notices and agenda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meetings, the quorum and the conduct of business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thereat;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4" w:after="0"/>
              <w:ind w:left="0" w:right="2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qualification and disqualification to be a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2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the Board and the Corporation;</w:t>
            </w:r>
          </w:p>
        </w:tc>
      </w:tr>
      <w:tr>
        <w:trPr>
          <w:trHeight w:hRule="exact" w:val="3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administration and management of the property</w:t>
            </w:r>
          </w:p>
        </w:tc>
      </w:tr>
    </w:tbl>
    <w:p>
      <w:pPr>
        <w:autoSpaceDN w:val="0"/>
        <w:autoSpaceDE w:val="0"/>
        <w:widowControl/>
        <w:spacing w:line="238" w:lineRule="auto" w:before="0" w:after="170"/>
        <w:ind w:left="0" w:right="48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Corporation;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2" w:after="0"/>
              <w:ind w:left="0" w:right="20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management of the affairs of the Corporation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accomplishment of its’ objects and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dissolution of the Corporation.</w:t>
            </w:r>
          </w:p>
        </w:tc>
      </w:tr>
    </w:tbl>
    <w:p>
      <w:pPr>
        <w:autoSpaceDN w:val="0"/>
        <w:autoSpaceDE w:val="0"/>
        <w:widowControl/>
        <w:spacing w:line="245" w:lineRule="auto" w:before="174" w:after="174"/>
        <w:ind w:left="1596" w:right="262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rules made by the Corporation may be amended,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altered, added to or rescinded at a like meeting and in like </w:t>
      </w:r>
      <w:r>
        <w:rPr>
          <w:rFonts w:ascii="Times" w:hAnsi="Times" w:eastAsia="Times"/>
          <w:b w:val="0"/>
          <w:i w:val="0"/>
          <w:color w:val="221F1F"/>
          <w:sz w:val="20"/>
        </w:rPr>
        <w:t>manner as a rule made under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8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0" w:after="0"/>
              <w:ind w:left="0" w:right="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6" w:val="left"/>
              </w:tabs>
              <w:autoSpaceDE w:val="0"/>
              <w:widowControl/>
              <w:spacing w:line="245" w:lineRule="auto" w:before="60" w:after="0"/>
              <w:ind w:left="76" w:right="1296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The members of the Corporation shall at all time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rules of the Corporation.</w:t>
            </w:r>
          </w:p>
        </w:tc>
      </w:tr>
    </w:tbl>
    <w:p>
      <w:pPr>
        <w:autoSpaceDN w:val="0"/>
        <w:tabs>
          <w:tab w:pos="1836" w:val="left"/>
        </w:tabs>
        <w:autoSpaceDE w:val="0"/>
        <w:widowControl/>
        <w:spacing w:line="245" w:lineRule="auto" w:before="162" w:after="174"/>
        <w:ind w:left="1596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rules made under this section shall be published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Government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3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82" w:after="0"/>
              <w:ind w:left="0" w:right="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Board shall maintain a register of members 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Registry of</w:t>
            </w:r>
          </w:p>
        </w:tc>
      </w:tr>
      <w:tr>
        <w:trPr>
          <w:trHeight w:hRule="exact" w:val="24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name, address and other essential details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be inscribed.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of the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Corporation shall have its own Fund.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836" w:val="left"/>
          <w:tab w:pos="6516" w:val="left"/>
        </w:tabs>
        <w:autoSpaceDE w:val="0"/>
        <w:widowControl/>
        <w:spacing w:line="245" w:lineRule="auto" w:before="4" w:after="2"/>
        <w:ind w:left="1596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Corporation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All moneys received by way of gifts, bequests,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donations, subscriptions, contributions, fees or grants for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0" w:after="0"/>
              <w:ind w:left="0" w:right="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5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account of the Corporation shall be deposited in one or more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Banks approved by the Board to the credit of the Corporation.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520" w:val="left"/>
          <w:tab w:pos="6496" w:val="left"/>
        </w:tabs>
        <w:autoSpaceDE w:val="0"/>
        <w:widowControl/>
        <w:spacing w:line="248" w:lineRule="exact" w:before="0" w:after="0"/>
        <w:ind w:left="2400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Dr. S. S. Gunawardana Indigenous Ayurveda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Development Foundation (Incorporation)</w:t>
      </w:r>
    </w:p>
    <w:p>
      <w:pPr>
        <w:autoSpaceDN w:val="0"/>
        <w:autoSpaceDE w:val="0"/>
        <w:widowControl/>
        <w:spacing w:line="245" w:lineRule="auto" w:before="488" w:after="9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There shall be paid out of the Fund all sums of money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are required to defray any expenditure incurred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in the exercise, performance and discharge of </w:t>
      </w:r>
      <w:r>
        <w:rPr>
          <w:rFonts w:ascii="Times" w:hAnsi="Times" w:eastAsia="Times"/>
          <w:b w:val="0"/>
          <w:i w:val="0"/>
          <w:color w:val="000000"/>
          <w:sz w:val="20"/>
        </w:rPr>
        <w:t>its powers, duties and functions under the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6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financial year of the Corporation shall be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and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Auditing</w:t>
            </w:r>
          </w:p>
        </w:tc>
      </w:tr>
      <w:tr>
        <w:trPr>
          <w:trHeight w:hRule="exact" w:val="2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calendar year.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26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Corporation shall cause proper accounts to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kept of its income and expenditure, assets and liabilities and </w:t>
      </w:r>
      <w:r>
        <w:rPr>
          <w:rFonts w:ascii="Times" w:hAnsi="Times" w:eastAsia="Times"/>
          <w:b w:val="0"/>
          <w:i w:val="0"/>
          <w:color w:val="000000"/>
          <w:sz w:val="20"/>
        </w:rPr>
        <w:t>all other transactions of the Corporation.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0" w:lineRule="exact" w:before="124" w:after="0"/>
        <w:ind w:left="1480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accounts of the Corporation shall be audited  by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qualified auditor appointed by Auditor-General in terms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Article 154 of the Constitution.</w:t>
      </w:r>
    </w:p>
    <w:p>
      <w:pPr>
        <w:autoSpaceDN w:val="0"/>
        <w:tabs>
          <w:tab w:pos="2038" w:val="left"/>
        </w:tabs>
        <w:autoSpaceDE w:val="0"/>
        <w:widowControl/>
        <w:spacing w:line="247" w:lineRule="auto" w:before="186" w:after="6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(4) For the purpose of this section, “qualified auditor”</w:t>
      </w:r>
      <w:r>
        <w:rPr>
          <w:rFonts w:ascii="Times" w:hAnsi="Times" w:eastAsia="Times"/>
          <w:b w:val="0"/>
          <w:i w:val="0"/>
          <w:color w:val="000000"/>
          <w:sz w:val="20"/>
        </w:rPr>
        <w:t>means 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4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individual who, being a member of the Institute</w:t>
            </w:r>
          </w:p>
        </w:tc>
      </w:tr>
    </w:tbl>
    <w:p>
      <w:pPr>
        <w:autoSpaceDN w:val="0"/>
        <w:autoSpaceDE w:val="0"/>
        <w:widowControl/>
        <w:spacing w:line="245" w:lineRule="auto" w:before="4" w:after="68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Chartered Accountants of Sri Lanka, or 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institute established by law, possesses a certificate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practice as an Accountant, issued by the Council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such Institute;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firm of Accountants, each of the resident partners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which,being a member of the Institute of</w:t>
            </w:r>
          </w:p>
        </w:tc>
      </w:tr>
    </w:tbl>
    <w:p>
      <w:pPr>
        <w:autoSpaceDN w:val="0"/>
        <w:autoSpaceDE w:val="0"/>
        <w:widowControl/>
        <w:spacing w:line="245" w:lineRule="auto" w:before="4" w:after="2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Chartered Accountants of Sri Lanka or of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institute established by law, possesses a certificate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2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4" w:after="0"/>
              <w:ind w:left="0" w:right="16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5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practice as an Accountant, issued by the Council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Annual Report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such Institute.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Board shall prepare a report of the activities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4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Corporation for each financial year and submit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 together with the audited  statement of accounts to the </w:t>
      </w:r>
      <w:r>
        <w:rPr>
          <w:rFonts w:ascii="Times" w:hAnsi="Times" w:eastAsia="Times"/>
          <w:b w:val="0"/>
          <w:i w:val="0"/>
          <w:color w:val="000000"/>
          <w:sz w:val="20"/>
        </w:rPr>
        <w:t>Secretary of the Ministry of the Minister assigned the subject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6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Social Services and to the Registrar of Voluntary Social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Services Organizations appointed under the voluntary social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services organization (Registration and Supervision) Act, No.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31 of 1980 before the expiration of six months of the year </w:t>
      </w:r>
      <w:r>
        <w:rPr>
          <w:rFonts w:ascii="Times" w:hAnsi="Times" w:eastAsia="Times"/>
          <w:b w:val="0"/>
          <w:i w:val="0"/>
          <w:color w:val="000000"/>
          <w:sz w:val="20"/>
        </w:rPr>
        <w:t>succeeding the year to which such report relates.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172" w:val="left"/>
          <w:tab w:pos="2318" w:val="left"/>
        </w:tabs>
        <w:autoSpaceDE w:val="0"/>
        <w:widowControl/>
        <w:spacing w:line="228" w:lineRule="exact" w:before="38" w:after="0"/>
        <w:ind w:left="1596" w:right="316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Dr. S. S. Gunawardana Indigenous Ayurveda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Development Foundation (Incorporation)</w:t>
      </w:r>
    </w:p>
    <w:p>
      <w:pPr>
        <w:autoSpaceDN w:val="0"/>
        <w:autoSpaceDE w:val="0"/>
        <w:widowControl/>
        <w:spacing w:line="252" w:lineRule="auto" w:before="496" w:after="128"/>
        <w:ind w:left="1596" w:right="262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separate Account relating to the foreign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local moneys received by the Corporation during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year shall be attached to the report referred to in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04"/>
        </w:trPr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debts and liabilities of the Foundation existing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day  preceding the date of commencement of this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 to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Foundation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shall be paid by the Corporation hereby constituted,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8" w:after="10"/>
        <w:ind w:left="15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and all debts due to, and subscriptions and contributions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23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2" w:after="0"/>
              <w:ind w:left="0" w:right="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payable to the Foundation on that day shall be paid to the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 for the purpose of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 of this Act, the Corporation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58" w:after="0"/>
              <w:ind w:left="0" w:right="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able and capable in law to take and hold any property,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hold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movable or immovable which may become vested in it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movable and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virtue of any purchase, grant, gift, testamentary disposition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immovable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otherwise, and all such property shall be held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 for the purposes of this Act and subject to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0" w:after="128"/>
        <w:ind w:left="1596" w:right="26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rules of the Corporation made under section 7, with power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sell, mortgage, lease, exchange or otherwise dispose of </w:t>
      </w:r>
      <w:r>
        <w:rPr>
          <w:rFonts w:ascii="Times" w:hAnsi="Times" w:eastAsia="Times"/>
          <w:b w:val="0"/>
          <w:i w:val="0"/>
          <w:color w:val="000000"/>
          <w:sz w:val="20"/>
        </w:rPr>
        <w:t>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31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moneys and property of the Corporation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however derived shall be applied solely towards the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moneys and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promotion of the objects of the Corporation and no portion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10"/>
        <w:ind w:left="15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thereof shall be paid or transferred directly or indirectly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23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0" w:after="0"/>
              <w:ind w:left="0" w:right="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way of dividend, bonus or profit to the members of the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seal of the Corporation shall not be affixed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any instrument whatsoever, except in the presence two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38" w:lineRule="auto" w:before="8" w:after="10"/>
        <w:ind w:left="15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members of the  Board  who shall sign their names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5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0" w:after="0"/>
              <w:ind w:left="0" w:right="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instrument in token of their presence and such signing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independent of the signing of any person as a witness.</w:t>
            </w:r>
          </w:p>
        </w:tc>
      </w:tr>
    </w:tbl>
    <w:p>
      <w:pPr>
        <w:autoSpaceDN w:val="0"/>
        <w:autoSpaceDE w:val="0"/>
        <w:widowControl/>
        <w:spacing w:line="250" w:lineRule="auto" w:before="142" w:after="0"/>
        <w:ind w:left="1596" w:right="262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seal of the Corporation shall be in the custody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office bearer of the Board as may be decided by such </w:t>
      </w:r>
      <w:r>
        <w:rPr>
          <w:rFonts w:ascii="Times" w:hAnsi="Times" w:eastAsia="Times"/>
          <w:b w:val="0"/>
          <w:i w:val="0"/>
          <w:color w:val="000000"/>
          <w:sz w:val="20"/>
        </w:rPr>
        <w:t>Board.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520" w:val="left"/>
          <w:tab w:pos="6496" w:val="left"/>
        </w:tabs>
        <w:autoSpaceDE w:val="0"/>
        <w:widowControl/>
        <w:spacing w:line="248" w:lineRule="exact" w:before="0" w:after="434"/>
        <w:ind w:left="2400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Dr. S. S. Gunawardana Indigenous Ayurveda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Development Foundation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94" w:after="0"/>
              <w:ind w:left="0" w:right="6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If upon the dissolution of the Corporation, there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remains  after the satisfaction of all its debts and liabilities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remaining 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dissolution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property whatsoever, such property shall not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distributed among the members of the Corporation, but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given or transferred to any other institution having objects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similar to those of the Corporation, and which is  by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5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rules thereof, prohibited from distributing any income or </w:t>
      </w:r>
      <w:r>
        <w:rPr>
          <w:rFonts w:ascii="Times" w:hAnsi="Times" w:eastAsia="Times"/>
          <w:b w:val="0"/>
          <w:i w:val="0"/>
          <w:color w:val="000000"/>
          <w:sz w:val="20"/>
        </w:rPr>
        <w:t>property among its members.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3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0" w:after="0"/>
              <w:ind w:left="0" w:right="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For the purpose of subsection (1) the appropriate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 shall be determined by the members of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15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immediately before the dissolution at a general </w:t>
      </w:r>
      <w:r>
        <w:rPr>
          <w:rFonts w:ascii="Times" w:hAnsi="Times" w:eastAsia="Times"/>
          <w:b w:val="0"/>
          <w:i w:val="0"/>
          <w:color w:val="000000"/>
          <w:sz w:val="20"/>
        </w:rPr>
        <w:t>meeting by the majority of votes of the members present.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12" w:after="0"/>
              <w:ind w:left="0" w:right="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 in this Act contained  shall prejudice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of the</w:t>
            </w:r>
          </w:p>
        </w:tc>
      </w:tr>
      <w:tr>
        <w:trPr>
          <w:trHeight w:hRule="exact" w:val="235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of any body politic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the</w:t>
            </w:r>
          </w:p>
        </w:tc>
      </w:tr>
      <w:tr>
        <w:trPr>
          <w:trHeight w:hRule="exact" w:val="145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 and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 to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prevail in case</w:t>
            </w:r>
          </w:p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4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98"/>
        <w:ind w:left="0" w:right="0"/>
      </w:pPr>
    </w:p>
    <w:p>
      <w:pPr>
        <w:autoSpaceDN w:val="0"/>
        <w:autoSpaceDE w:val="0"/>
        <w:widowControl/>
        <w:spacing w:line="14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36.0" w:type="dxa"/>
      </w:tblPr>
      <w:tblGrid>
        <w:gridCol w:w="5378"/>
        <w:gridCol w:w="5378"/>
      </w:tblGrid>
      <w:tr>
        <w:trPr>
          <w:trHeight w:hRule="exact" w:val="326"/>
        </w:trPr>
        <w:tc>
          <w:tcPr>
            <w:tcW w:type="dxa" w:w="1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8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19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Dr. S. S. Gunawardana Indigenous Ayurveda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261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Development Foundation (Incorporation)</w:t>
      </w:r>
    </w:p>
    <w:p>
      <w:pPr>
        <w:autoSpaceDN w:val="0"/>
        <w:autoSpaceDE w:val="0"/>
        <w:widowControl/>
        <w:spacing w:line="238" w:lineRule="auto" w:before="9156" w:after="0"/>
        <w:ind w:left="0" w:right="4890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918" w:right="0" w:bottom="1440" w:left="1144" w:header="720" w:footer="720" w:gutter="0"/>
      <w:cols w:space="720" w:num="1" w:equalWidth="0">
        <w:col w:w="10756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