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46" w:after="0"/>
        <w:ind w:left="0" w:right="308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January 07, 2022</w:t>
      </w:r>
    </w:p>
    <w:p>
      <w:pPr>
        <w:autoSpaceDN w:val="0"/>
        <w:autoSpaceDE w:val="0"/>
        <w:widowControl/>
        <w:spacing w:line="238" w:lineRule="auto" w:before="214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07.01.2022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2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80" w:after="0"/>
        <w:ind w:left="0" w:right="211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SPECIAL GOODS AND SERVICES TAX</w:t>
      </w:r>
    </w:p>
    <w:p>
      <w:pPr>
        <w:autoSpaceDN w:val="0"/>
        <w:autoSpaceDE w:val="0"/>
        <w:widowControl/>
        <w:spacing w:line="235" w:lineRule="auto" w:before="182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19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50" w:lineRule="auto" w:before="232" w:after="0"/>
        <w:ind w:left="1440" w:right="134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 provide for the imposition of a special goods and services tax, in lieu of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the sums chargeable on such specified goods and services by way of tax,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duty, levy, cess or any other charge imposed by law; to promote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self-compliance in the payment of taxes in order to ensure greater efficiency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 relation to the collection and administration on such taxes by avoiding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the complexities associated with the application and administration of a </w:t>
      </w:r>
      <w:r>
        <w:rPr>
          <w:rFonts w:ascii="Times" w:hAnsi="Times" w:eastAsia="Times"/>
          <w:b/>
          <w:i w:val="0"/>
          <w:color w:val="000000"/>
          <w:sz w:val="20"/>
        </w:rPr>
        <w:t>multiple tax regime on specified goods and services; and to provide for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matters connected therewith or incidental thereto</w:t>
      </w:r>
    </w:p>
    <w:p>
      <w:pPr>
        <w:autoSpaceDN w:val="0"/>
        <w:autoSpaceDE w:val="0"/>
        <w:widowControl/>
        <w:spacing w:line="235" w:lineRule="auto" w:before="216" w:after="0"/>
        <w:ind w:left="0" w:right="237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8" w:lineRule="auto" w:before="14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42.00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94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8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413" w:lineRule="auto" w:before="46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20/2021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IMPOSITION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SPECIAL</w:t>
      </w:r>
      <w:r>
        <w:rPr>
          <w:rFonts w:ascii="Times" w:hAnsi="Times" w:eastAsia="Times"/>
          <w:b w:val="0"/>
          <w:i w:val="0"/>
          <w:color w:val="221F1F"/>
          <w:sz w:val="14"/>
        </w:rPr>
        <w:t>GOODS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8" w:lineRule="auto" w:before="5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SERVICES</w:t>
      </w:r>
      <w:r>
        <w:rPr>
          <w:rFonts w:ascii="Times" w:hAnsi="Times" w:eastAsia="Times"/>
          <w:b w:val="0"/>
          <w:i w:val="0"/>
          <w:color w:val="221F1F"/>
          <w:sz w:val="14"/>
        </w:rPr>
        <w:t>TAX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LIEU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SUMS</w:t>
      </w:r>
      <w:r>
        <w:rPr>
          <w:rFonts w:ascii="Times" w:hAnsi="Times" w:eastAsia="Times"/>
          <w:b w:val="0"/>
          <w:i w:val="0"/>
          <w:color w:val="221F1F"/>
          <w:sz w:val="14"/>
        </w:rPr>
        <w:t>CHARGEABLE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SPECIFIED</w:t>
      </w:r>
    </w:p>
    <w:p>
      <w:pPr>
        <w:autoSpaceDN w:val="0"/>
        <w:autoSpaceDE w:val="0"/>
        <w:widowControl/>
        <w:spacing w:line="235" w:lineRule="auto" w:before="5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GOODS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SERVICES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DUTY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LEVY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CESS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</w:p>
    <w:p>
      <w:pPr>
        <w:autoSpaceDN w:val="0"/>
        <w:autoSpaceDE w:val="0"/>
        <w:widowControl/>
        <w:spacing w:line="238" w:lineRule="auto" w:before="5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CHARGE</w:t>
      </w:r>
      <w:r>
        <w:rPr>
          <w:rFonts w:ascii="Times" w:hAnsi="Times" w:eastAsia="Times"/>
          <w:b w:val="0"/>
          <w:i w:val="0"/>
          <w:color w:val="221F1F"/>
          <w:sz w:val="14"/>
        </w:rPr>
        <w:t>IMPOSED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PROMOTE</w:t>
      </w:r>
      <w:r>
        <w:rPr>
          <w:rFonts w:ascii="Times" w:hAnsi="Times" w:eastAsia="Times"/>
          <w:b w:val="0"/>
          <w:i w:val="0"/>
          <w:color w:val="221F1F"/>
          <w:sz w:val="14"/>
        </w:rPr>
        <w:t>SELF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COMPLIANCE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</w:p>
    <w:p>
      <w:pPr>
        <w:autoSpaceDN w:val="0"/>
        <w:autoSpaceDE w:val="0"/>
        <w:widowControl/>
        <w:spacing w:line="238" w:lineRule="auto" w:before="10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TAXES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ORDER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ENSURE</w:t>
      </w:r>
      <w:r>
        <w:rPr>
          <w:rFonts w:ascii="Times" w:hAnsi="Times" w:eastAsia="Times"/>
          <w:b w:val="0"/>
          <w:i w:val="0"/>
          <w:color w:val="221F1F"/>
          <w:sz w:val="14"/>
        </w:rPr>
        <w:t>GREATER</w:t>
      </w:r>
      <w:r>
        <w:rPr>
          <w:rFonts w:ascii="Times" w:hAnsi="Times" w:eastAsia="Times"/>
          <w:b w:val="0"/>
          <w:i w:val="0"/>
          <w:color w:val="221F1F"/>
          <w:sz w:val="14"/>
        </w:rPr>
        <w:t>EFFICIENCY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</w:p>
    <w:p>
      <w:pPr>
        <w:autoSpaceDN w:val="0"/>
        <w:autoSpaceDE w:val="0"/>
        <w:widowControl/>
        <w:spacing w:line="235" w:lineRule="auto" w:before="12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RELATION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COLLECTION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TAXES</w:t>
      </w:r>
    </w:p>
    <w:p>
      <w:pPr>
        <w:autoSpaceDN w:val="0"/>
        <w:autoSpaceDE w:val="0"/>
        <w:widowControl/>
        <w:spacing w:line="238" w:lineRule="auto" w:before="12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AVOIDING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COMPLEXITIES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APPLICATION</w:t>
      </w:r>
    </w:p>
    <w:p>
      <w:pPr>
        <w:autoSpaceDN w:val="0"/>
        <w:autoSpaceDE w:val="0"/>
        <w:widowControl/>
        <w:spacing w:line="235" w:lineRule="auto" w:before="12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MULTIPLE</w:t>
      </w:r>
      <w:r>
        <w:rPr>
          <w:rFonts w:ascii="Times" w:hAnsi="Times" w:eastAsia="Times"/>
          <w:b w:val="0"/>
          <w:i w:val="0"/>
          <w:color w:val="221F1F"/>
          <w:sz w:val="14"/>
        </w:rPr>
        <w:t>TAX</w:t>
      </w:r>
      <w:r>
        <w:rPr>
          <w:rFonts w:ascii="Times" w:hAnsi="Times" w:eastAsia="Times"/>
          <w:b w:val="0"/>
          <w:i w:val="0"/>
          <w:color w:val="221F1F"/>
          <w:sz w:val="14"/>
        </w:rPr>
        <w:t>REGIME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SPECIFIED</w:t>
      </w:r>
      <w:r>
        <w:rPr>
          <w:rFonts w:ascii="Times" w:hAnsi="Times" w:eastAsia="Times"/>
          <w:b w:val="0"/>
          <w:i w:val="0"/>
          <w:color w:val="221F1F"/>
          <w:sz w:val="14"/>
        </w:rPr>
        <w:t>GOODS</w:t>
      </w:r>
    </w:p>
    <w:p>
      <w:pPr>
        <w:autoSpaceDN w:val="0"/>
        <w:autoSpaceDE w:val="0"/>
        <w:widowControl/>
        <w:spacing w:line="235" w:lineRule="auto" w:before="6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SERVICES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</w:p>
    <w:p>
      <w:pPr>
        <w:autoSpaceDN w:val="0"/>
        <w:autoSpaceDE w:val="0"/>
        <w:widowControl/>
        <w:spacing w:line="235" w:lineRule="auto" w:before="11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72" w:lineRule="auto" w:before="350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Special Goods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8" w:lineRule="auto" w:before="56" w:after="2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Services Tax Act, No. ……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imposed a levy to be called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Imposition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“Special Goods and Services Tax” which shall be a composite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Special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payable on the following specified goods and services:-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428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liquor, cigarettes and vehicles (inclusive of parts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2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assembling of vehicles) being specified goods;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telecommunications, and  betting and gaming,</w:t>
            </w:r>
          </w:p>
        </w:tc>
      </w:tr>
    </w:tbl>
    <w:p>
      <w:pPr>
        <w:autoSpaceDN w:val="0"/>
        <w:tabs>
          <w:tab w:pos="1798" w:val="left"/>
          <w:tab w:pos="2518" w:val="left"/>
        </w:tabs>
        <w:autoSpaceDE w:val="0"/>
        <w:widowControl/>
        <w:spacing w:line="355" w:lineRule="auto" w:before="2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specified services,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 are subjected to the tax, duty, levy, cess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imposed, in terms of any enactment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 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50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Special Goods and Services Tax  shall be limited </w:t>
      </w:r>
      <w:r>
        <w:rPr>
          <w:rFonts w:ascii="Times" w:hAnsi="Times" w:eastAsia="Times"/>
          <w:b w:val="0"/>
          <w:i w:val="0"/>
          <w:color w:val="221F1F"/>
          <w:sz w:val="20"/>
        </w:rPr>
        <w:t>to specified goods or services dealt with subsection (1).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21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 from time to time, specify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rate of tax applicable, either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ad valorem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or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specific, to the respective specified goods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to which such Order relates;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7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basis of calculation of the Special Goods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Tax in relation to the respective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goods or services to which the Order relates.</w:t>
      </w:r>
    </w:p>
    <w:p>
      <w:pPr>
        <w:autoSpaceDN w:val="0"/>
        <w:autoSpaceDE w:val="0"/>
        <w:widowControl/>
        <w:spacing w:line="257" w:lineRule="auto" w:before="2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Order made under subsection (3) shall continue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 force until such time it is revoked by the Minister,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subsequent Order is made by the Minister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(3).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such Order made by the Minister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shall be in operation immediately upon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affixing his signature thereto.</w:t>
      </w:r>
    </w:p>
    <w:p>
      <w:pPr>
        <w:autoSpaceDN w:val="0"/>
        <w:autoSpaceDE w:val="0"/>
        <w:widowControl/>
        <w:spacing w:line="238" w:lineRule="auto" w:before="27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(6) Every such Order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362" w:val="left"/>
          <w:tab w:pos="1702" w:val="left"/>
          <w:tab w:pos="194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Order shall be brought before Parliament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of three months from the date of its publication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for the approval of Parliament. Where no meeting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 is held within such period, such Order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before Parliament for the approval, at the first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Parliament held after the expiry of such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motion.</w:t>
      </w:r>
    </w:p>
    <w:p>
      <w:pPr>
        <w:autoSpaceDN w:val="0"/>
        <w:autoSpaceDE w:val="0"/>
        <w:widowControl/>
        <w:spacing w:line="257" w:lineRule="auto" w:before="27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Any such Order which is refused to be approved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shall be deemed to be revoked with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resolution,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Notwithstanding the provisions of section 2,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may, from time to time by Order published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exempt from the payment of the Special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Services Tax payable under this Act, on any such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services or any such class, grade, category or description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goods or services specified in such Order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such conditions as may be specified in such Order.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57" w:lineRule="auto" w:before="276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avoidance of doubt, the provisions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enactments set out in the Schedule hereto shall not apply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goods and services specified in the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9" w:lineRule="auto" w:before="27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manufacturer or an importer sells or disposes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goods, contrary to the conditions specified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made under subsection (1), such manufacture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importer shall be liable to the same Special Goods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Tax as was payable under this Act on such goods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 which are subject to the Special Goods and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0" w:lineRule="auto" w:before="27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Order made under subsection (1) shall continue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in force until such time it is revoked by the Minister.</w:t>
      </w:r>
    </w:p>
    <w:p>
      <w:pPr>
        <w:autoSpaceDN w:val="0"/>
        <w:autoSpaceDE w:val="0"/>
        <w:widowControl/>
        <w:spacing w:line="254" w:lineRule="auto" w:before="276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such Order made by the Minister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in operation immediately upon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affixing his signature thereto.</w:t>
      </w:r>
    </w:p>
    <w:p>
      <w:pPr>
        <w:autoSpaceDN w:val="0"/>
        <w:autoSpaceDE w:val="0"/>
        <w:widowControl/>
        <w:spacing w:line="235" w:lineRule="auto" w:before="200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such Order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9" w:lineRule="auto" w:before="194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Every Order shall be brought before Parliament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of three months from the date of its publication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for the approval of Parliament. Where no meeting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 is held within such period, such Order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before Parliament for the approval, at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Parliament held after the expiry of such period,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motion.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autoSpaceDE w:val="0"/>
        <w:widowControl/>
        <w:spacing w:line="252" w:lineRule="auto" w:before="496" w:after="204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such Order which is refused to be approved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shall be deemed to be revoked with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resolution,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Order made under subsection (3) of section 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Order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operation, any tax, duty, levy, cess or any other charge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imposing the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imposed, in terms of any enactment set out in the Schedule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 shall not, from and after the date of coming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such Order, be applicable in respect of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made, no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 levied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goods or services referred to in subsection (1)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this Act: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set out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the provisions of the enactments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hereto  to be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 out in the Schedule hereto may, where necessary, apply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the enforcement, prevention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punishment of the contravention of the provisions of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20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 and any regulations made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64" w:right="56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Secretary to the Treasury shall set up a unit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purview of a Deputy Secretary to the Treasury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“Designated Officer”).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Secretary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Treasury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charged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)The Designated Officer shall be charged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responsibility of the administration, collection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collection of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accountability of the Special Goods and Services Tax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Special</w:t>
            </w:r>
          </w:p>
        </w:tc>
      </w:tr>
      <w:tr>
        <w:trPr>
          <w:trHeight w:hRule="exact" w:val="23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in terms of this Act and paid as provided for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Secretary to the Treasury shall assign to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unit, such number of officers attached to the Ministry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or any Department coming within the purview of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Finance as may be deemed necessary.</w:t>
      </w:r>
    </w:p>
    <w:p>
      <w:pPr>
        <w:autoSpaceDN w:val="0"/>
        <w:autoSpaceDE w:val="0"/>
        <w:widowControl/>
        <w:spacing w:line="235" w:lineRule="auto" w:before="266" w:after="10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Designated Officer may delegate any power, duty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function conferred or imposed on, or assigned to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to any officer assigned in terms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9" w:lineRule="auto" w:before="538" w:after="202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officer to whom such power, duty or function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shall, subject to the general and special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from time to time, by the Designated Officer,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>perform or discharge such power, duty or function.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Special Goods and Services Tax shall be payable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every manufacturer, importer or service provider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“taxable person”),  of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goods or service set out in  subsection (1)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3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taxable person who is engaged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manufacturing or importation of any specified goods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taxable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and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of any specified services on the date of the coming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to operation of the Order made under subsection (3)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shall, not later than fourteen days from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of such Order, forward an application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registration as a taxable person  to the Designated Officer.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71" w:lineRule="auto" w:before="30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intends to manufacture or import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goods or provide any specified services after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the coming into operation of an Order made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(3) of section 2 of this Act shall, prior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 or import of any specified goods or the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specified services, forward an application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Designated Officer in the prescribed Form accompanied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prescribed fee and documents.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57" w:lineRule="auto" w:before="30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for registration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prescribed by regulations.</w:t>
      </w:r>
    </w:p>
    <w:p>
      <w:pPr>
        <w:autoSpaceDN w:val="0"/>
        <w:autoSpaceDE w:val="0"/>
        <w:widowControl/>
        <w:spacing w:line="264" w:lineRule="auto" w:before="306" w:after="0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receipt of such application for registration,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Designated Officer shall forthwith proceed to register the </w:t>
      </w:r>
      <w:r>
        <w:rPr>
          <w:rFonts w:ascii="Times" w:hAnsi="Times" w:eastAsia="Times"/>
          <w:b w:val="0"/>
          <w:i w:val="0"/>
          <w:color w:val="221F1F"/>
          <w:sz w:val="20"/>
        </w:rPr>
        <w:t>person as a taxable person subject to the provisions of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38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subsections (2) and (3).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49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Designated Officer may, prior to registering 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as a taxable person where necessary call for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documents to support the documents already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by such taxable person who shall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documents within the period specified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Designated Officer.</w:t>
      </w:r>
    </w:p>
    <w:p>
      <w:pPr>
        <w:autoSpaceDN w:val="0"/>
        <w:autoSpaceDE w:val="0"/>
        <w:widowControl/>
        <w:spacing w:line="250" w:lineRule="auto" w:before="264" w:after="8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Designated Officer may, if there exists a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doubt on the genuineness of the information or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>submitted, refuse to register the person as a taxable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within fourteen days of making such  decision serve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with a written notice of such refusal stating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reasons therefor.</w:t>
      </w:r>
    </w:p>
    <w:p>
      <w:pPr>
        <w:autoSpaceDN w:val="0"/>
        <w:autoSpaceDE w:val="0"/>
        <w:widowControl/>
        <w:spacing w:line="247" w:lineRule="auto" w:before="266" w:after="8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On receipt of notice of refusal under subsection (3),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may forward a request to the Secretary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 setting out further reasons and documents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support of his application   within fourteen days of the receipt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such person of the notice of refusal.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Secretary to the Treasury may, upon consideration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reasons set out in such request and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under subsection (4), determine whether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person is eligible for registration, and proceed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the person as a taxable person for the purposes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Act. The Secretary to the Treasury shall at the earliest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convenience inform the taxable person of his decision.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4" w:lineRule="auto" w:before="264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Upon such registration, the Designated Officer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to such taxable person a Certificate of Registration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as may be prescribed by regulations. The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Registration shall contain information on specified goods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services covered by   such registration, and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validity of such registration.</w:t>
      </w:r>
    </w:p>
    <w:p>
      <w:pPr>
        <w:autoSpaceDN w:val="0"/>
        <w:autoSpaceDE w:val="0"/>
        <w:widowControl/>
        <w:spacing w:line="250" w:lineRule="auto" w:before="264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Designated Officer shall also cause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a register of taxable persons so registered, in </w:t>
      </w:r>
      <w:r>
        <w:rPr>
          <w:rFonts w:ascii="Times" w:hAnsi="Times" w:eastAsia="Times"/>
          <w:b w:val="0"/>
          <w:i w:val="0"/>
          <w:color w:val="221F1F"/>
          <w:sz w:val="20"/>
        </w:rPr>
        <w:t>such form as may be prescribed by regulations.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496" w:after="174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03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taxable person has ceased to import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manufacture any specified goods or provide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services referred to in subsection (1)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2;</w:t>
            </w:r>
          </w:p>
        </w:tc>
      </w:tr>
    </w:tbl>
    <w:p>
      <w:pPr>
        <w:autoSpaceDN w:val="0"/>
        <w:autoSpaceDE w:val="0"/>
        <w:widowControl/>
        <w:spacing w:line="238" w:lineRule="auto" w:before="1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(ii) the Minister revokes any Order made under</w:t>
      </w:r>
    </w:p>
    <w:p>
      <w:pPr>
        <w:autoSpaceDN w:val="0"/>
        <w:autoSpaceDE w:val="0"/>
        <w:widowControl/>
        <w:spacing w:line="238" w:lineRule="auto" w:before="0" w:after="168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(3) of section 2;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9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1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3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36" w:right="120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any Order made under subsection (3)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 is deemed to be revoked under subsection (8)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2,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Designated Officer may after giving an opportunity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representation, cancel such  Certificate of Registration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to the taxable person under subsection (6),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informed through a written communication signed by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reasons for such cancellation.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a taxable person has ceased to import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manufacture any specified goods or provide any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referred to in  subsection (1) of section 2 for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registration was made, such taxable person to whom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of Registration has been issued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(6), may apply to the Designated Officer requesting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cancellation of such Certificate of Registration.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(9) From and after the date of the coming into operation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 Order made under subsection (3) of section 2,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taxable person who–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imports or manufactures any specified goods or</w:t>
            </w:r>
          </w:p>
        </w:tc>
      </w:tr>
      <w:tr>
        <w:trPr>
          <w:trHeight w:hRule="exact" w:val="79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provides any specified service to which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 without obtaining a Certificate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 a statement or a communication under this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which is false or misleading in a material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 relating to any specified goods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services;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willfully evades or attempts to evade payment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Special  Goods and Services Tax,</w:t>
      </w:r>
    </w:p>
    <w:p>
      <w:pPr>
        <w:autoSpaceDN w:val="0"/>
        <w:tabs>
          <w:tab w:pos="1722" w:val="left"/>
        </w:tabs>
        <w:autoSpaceDE w:val="0"/>
        <w:widowControl/>
        <w:spacing w:line="257" w:lineRule="auto" w:before="276" w:after="0"/>
        <w:ind w:left="138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upon conviction after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 liable to a fine not exceeding rupees three million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of either description for a term not less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one year or to both such imprisonment and fine.</w:t>
      </w:r>
    </w:p>
    <w:p>
      <w:pPr>
        <w:autoSpaceDN w:val="0"/>
        <w:tabs>
          <w:tab w:pos="1722" w:val="left"/>
          <w:tab w:pos="1924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For the avoidance of doubt, a taxable person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 or manufacture any goods or provide any service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this Act does not apply, in which event a tax, duty,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levy, cess or any other charge imposed and  applicable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relevant applicable laws shall apply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other goods and services not covered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taxable person who is registered under this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Furnishing of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on or before the twentieth day of the month after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returns by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of each quarter, furnish a return in the prescribed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Form, to the Designated Officer along with-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certificate in the prescribed Form issued by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auditor confirming physical verification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related inventory pertaining to the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containing such particulars as may be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42" w:right="249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relating to the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imported or manufactured or the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provided or raw materials purchased.</w:t>
      </w:r>
    </w:p>
    <w:p>
      <w:pPr>
        <w:autoSpaceDN w:val="0"/>
        <w:tabs>
          <w:tab w:pos="1722" w:val="left"/>
          <w:tab w:pos="1924" w:val="left"/>
        </w:tabs>
        <w:autoSpaceDE w:val="0"/>
        <w:widowControl/>
        <w:spacing w:line="264" w:lineRule="auto" w:before="25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returns shall not be required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 taxable person who has imported any specified goods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personal use by such person.</w:t>
      </w:r>
    </w:p>
    <w:p>
      <w:pPr>
        <w:autoSpaceDN w:val="0"/>
        <w:tabs>
          <w:tab w:pos="1722" w:val="left"/>
          <w:tab w:pos="1924" w:val="left"/>
        </w:tabs>
        <w:autoSpaceDE w:val="0"/>
        <w:widowControl/>
        <w:spacing w:line="257" w:lineRule="auto" w:before="276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this subsection “personal use”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means, a quantity not to be used for profit or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gain under any enactment set out in the Schedule 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 of</w:t>
            </w:r>
          </w:p>
        </w:tc>
      </w:tr>
      <w:tr>
        <w:trPr>
          <w:trHeight w:hRule="exact" w:val="4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 taxable person who fails to file a return 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commits an offence and shall be liable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to a fine not exceeding one million rupees or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three months or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 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Special Goods and Services Tax, imposed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2, and payable by a taxable person shall be paid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 by the respective taxable person, by way of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fund transfer to an account opened and maintained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name of the Designated Officer for the purposes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such payment shall be deemed to be a credit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Every taxable person who is liable to pay the Special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and Services Tax, shall make such payment at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times and in the manner set out below–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taxable person who imports any specified goods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 pay the Special Goods and Services Tax prior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removal of such specified goods from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 warehouse or such other place where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were stored immediately upon its importation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Sri Lanka: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9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for the purpose of computing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Goods and Services Tax the date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importation shall be deemed to be the date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submission of the Bill of Entry relating to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on which such Tax is payable, to the Sri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Customs;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taxable person who manufactures any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shall pay the Special Goods and Services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one day prior to the day such manufactured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leave the manufacturing facility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manufacturer;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taxable person who provides any specified service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pay the Special Goods and Services Tax,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tenth  day of every month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service provided during the  previous month.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tabs>
          <w:tab w:pos="1902" w:val="left"/>
        </w:tabs>
        <w:autoSpaceDE w:val="0"/>
        <w:widowControl/>
        <w:spacing w:line="252" w:lineRule="auto" w:before="532" w:after="22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special Goods and Services Tax not paid as set </w:t>
      </w:r>
      <w:r>
        <w:rPr>
          <w:rFonts w:ascii="Times" w:hAnsi="Times" w:eastAsia="Times"/>
          <w:b w:val="0"/>
          <w:i w:val="0"/>
          <w:color w:val="221F1F"/>
          <w:sz w:val="20"/>
        </w:rPr>
        <w:t>out above shall be deemed to be in default.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payment of the Special Goods and Services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Verification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in the manner specified in section 9, the taxable person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documents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electronically submit to an email address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Designated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Officer as may be  prescribed by regulations,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of every payment so made,  in such Form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by the Designated Officer, along with scanned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copies of  relevant documents on  the importation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 of specified goods, or the provision of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services, that would facilitate verification of the accuracy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contents in such Form.  The Designated Officer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acknowledge every such payment and receipt of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documents within a reasonable time.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2" w:lineRule="auto" w:before="278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Designated Officer shall, after verification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provided in terms of subsection (1) and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returns and accompanied documents in terms of  section 8,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and confirm that the Special Goods and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payable by such taxable person in terms of this Act,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duly paid.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64" w:lineRule="auto" w:before="27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If, upon the completion of such verification process,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Designated Officer has reason to doubt the accuracy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particulars included in such Form  submitted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the accompanying documents supporting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information set out in such Form, the Designated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require the taxable person or the authorised agent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to furnish such other information,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documentary or other evidence as proof that the correct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payable as the Special Goods and Services Tax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paid.</w:t>
      </w:r>
    </w:p>
    <w:p>
      <w:pPr>
        <w:autoSpaceDN w:val="0"/>
        <w:autoSpaceDE w:val="0"/>
        <w:widowControl/>
        <w:spacing w:line="257" w:lineRule="auto" w:before="260" w:after="0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process of such verification, the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may call for further information, documents or </w:t>
      </w:r>
      <w:r>
        <w:rPr>
          <w:rFonts w:ascii="Times" w:hAnsi="Times" w:eastAsia="Times"/>
          <w:b w:val="0"/>
          <w:i w:val="0"/>
          <w:color w:val="221F1F"/>
          <w:sz w:val="20"/>
        </w:rPr>
        <w:t>assistance from the Director-General of Customs,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556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of Inland Revenue, the 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Telecommunications,  the Commissioner-General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Excise or such other relevant authority,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who shall extend such assistance as required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Designated Officer notwithstanding anything to the contrary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other written laws, as a matter of priority, in the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national economy.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64" w:lineRule="auto" w:before="290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receipt of further information or in the absence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response, if the Designated Officer still has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doubt as to the correctness or accuracy of the particulars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the taxable person shall be informed in writing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Designated Officer of the grounds for such doubt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afforded an opportunity of submitting a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in support of the position of the taxable person.</w:t>
      </w:r>
    </w:p>
    <w:p>
      <w:pPr>
        <w:autoSpaceDN w:val="0"/>
        <w:tabs>
          <w:tab w:pos="1448" w:val="left"/>
          <w:tab w:pos="1798" w:val="left"/>
          <w:tab w:pos="1996" w:val="left"/>
        </w:tabs>
        <w:autoSpaceDE w:val="0"/>
        <w:widowControl/>
        <w:spacing w:line="269" w:lineRule="auto" w:before="272" w:after="0"/>
        <w:ind w:left="142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Designated Officer shall after considering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representations, if any, made by such taxable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amount of 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payable, on the relevant specified goods or services,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communicate his determination to the relevant taxable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person. Such taxable person shall pay in full any balance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 due as the Special Goods and Services Tax,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difference between the amount already paid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person as the Special Goods and Service Tax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as determined by the Designated Officer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Goods and Services Tax as being payable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verification. The notice containing the determination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Designated Officer shall be in writing, and shall include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basis of the determination.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64" w:lineRule="auto" w:before="288" w:after="0"/>
        <w:ind w:left="143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 Where the amount paid by a taxable person as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Goods and Service Tax is found to be in excess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payable by the taxable person as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Designated Officer, the Designated Officer shall notify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taxable person of the same and take steps to refund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autoSpaceDE w:val="0"/>
        <w:widowControl/>
        <w:spacing w:line="250" w:lineRule="auto" w:before="52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paid in excess to the taxable person. The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manner to be followed in making refunds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7" w:lineRule="auto" w:before="254" w:after="194"/>
        <w:ind w:left="141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Any taxable person who is aggrieved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of the Designated Officer  made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section, may appeal against such decision to the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within fourteen days from the date of service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determination to such taxable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 appeal is preferred to the Court of Appeal,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 from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appellant shall pay the total amount payable as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determination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Goods and Services Tax as determined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Designated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Designated Officer,  in terms of section 10, on the same day,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following manner:-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fifty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total amount payable,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into the account referred to in section 9;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fifty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total amount payable, to 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paid by way of a bank guarantee issued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licenced commercial bank payable on demand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in favour of the Designated Officer.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54" w:lineRule="auto" w:before="230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Such Bank Guarantee shall be valid or be validated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appellant as may be necessary, until the appeal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Court of Appeal.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47" w:lineRule="auto" w:before="254" w:after="194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In the event the Court of Appeal determines the appeal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favour of the Designated Officer, he shall upon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determination, make a claim on the bank guarantee to recover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together with legal interest covering the entire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during which the appeal was pending in the Court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the Court of Appeal determines the Appeal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favour of the appellant, the Designated Officer shall as soon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convenient, refund the sum paid in terms of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(1), together with legal interest covering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9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entire period during which the appeal was pending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Appeal and shall at the earliest possible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return the bank guarantee, given in terms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5" w:lineRule="auto" w:before="220" w:after="0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When no valid appeal has been lodged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specified in subsection (7) of section 10 against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of the Designated Officer, the balance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as the Special Goods and Services Tax, and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 imposed on such Tax in terms of section 14 shall be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 to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Special Goods and Services Tax in default.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Special Goods and Services Tax is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default, the Designated Officer shall require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followed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Inland Revenue to take suitable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expeditious recovery action, and the Commissioner-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of Inland Revenue shall issue a Certificate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tax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Secretary, containing particulars of the Special Goods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in default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Services Tax in default and the name and address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defaulter and  the District Secretary to whom such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issued is hereby required, to cause the Special Goods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Tax in default  to be recovered from the defaulter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named in the Certificate,  by seizure and sale of movable </w:t>
      </w:r>
      <w:r>
        <w:rPr>
          <w:rFonts w:ascii="Times" w:hAnsi="Times" w:eastAsia="Times"/>
          <w:b w:val="0"/>
          <w:i w:val="0"/>
          <w:color w:val="221F1F"/>
          <w:sz w:val="20"/>
        </w:rPr>
        <w:t>property.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19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seizure of movable property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 shall be effected under the Civil Procedure Code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(Chapter 101) in such manner as such  District Secretary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deem most expedient in that behalf, and as soon as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 is so seized by such District Secretary, a </w:t>
      </w:r>
      <w:r>
        <w:rPr>
          <w:rFonts w:ascii="Times" w:hAnsi="Times" w:eastAsia="Times"/>
          <w:b w:val="0"/>
          <w:i w:val="0"/>
          <w:color w:val="221F1F"/>
          <w:sz w:val="20"/>
        </w:rPr>
        <w:t>list of such property shall forthwith be made and signed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him and shall be given to the defaulter and a copy thereof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furnished to the Commissioner-General of Inland Revenue.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Where the property so seized is-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cash in Sri Lanka Rupees, such cash shall be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in the payment of the costs and charges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seizing and any balance shall be applied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satisfaction of the Special Goods and Services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default;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cash in a designated foreign currency, such cash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6" w:after="0"/>
        <w:ind w:left="142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deposited in any licensed commercial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proceeds there from applied in the payment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costs and charges of seizing and any balance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 applied in satisfaction of the Special  Goods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Services Tax in default;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 other than cash, such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kept for seven days as costs and charges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defaulter. If the defaulter does not pay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Goods and Services Tax in default together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associated costs and charges within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said seven days, the District Secretary shall cause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property to be sold by public auction, or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property is a negotiable instrument or a share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corporation or public company, to be sold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a broker at the market rate of the day.</w:t>
            </w:r>
          </w:p>
        </w:tc>
      </w:tr>
    </w:tbl>
    <w:p>
      <w:pPr>
        <w:autoSpaceDN w:val="0"/>
        <w:tabs>
          <w:tab w:pos="1902" w:val="left"/>
        </w:tabs>
        <w:autoSpaceDE w:val="0"/>
        <w:widowControl/>
        <w:spacing w:line="245" w:lineRule="auto" w:before="19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 sum realized by a sale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(3), shall be applied–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firstly, in payment of the costs and charges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seizing,  keeping and selling   the property;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secondly, in satisfaction of the Special Goods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Tax  in default, and any balance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paid to the owner of the property so seized.</w:t>
      </w:r>
    </w:p>
    <w:p>
      <w:pPr>
        <w:autoSpaceDN w:val="0"/>
        <w:autoSpaceDE w:val="0"/>
        <w:widowControl/>
        <w:spacing w:line="235" w:lineRule="auto" w:before="254" w:after="6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It shall be lawful for the District Secretary to recover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any defaulter, reasonable expenses incurred by him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 against such defaulter under this section,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notwithstanding that no seizure of property was effected.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2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For the purpose of subsection (3), the expression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“movable property” includes any plant or machinery affixed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ground of a factory.</w:t>
      </w:r>
    </w:p>
    <w:p>
      <w:pPr>
        <w:autoSpaceDN w:val="0"/>
        <w:autoSpaceDE w:val="0"/>
        <w:widowControl/>
        <w:spacing w:line="245" w:lineRule="auto" w:before="234" w:after="0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Special Goods and Services Tax is in </w:t>
      </w:r>
      <w:r>
        <w:rPr>
          <w:rFonts w:ascii="Times" w:hAnsi="Times" w:eastAsia="Times"/>
          <w:b w:val="0"/>
          <w:i w:val="0"/>
          <w:color w:val="221F1F"/>
          <w:sz w:val="20"/>
        </w:rPr>
        <w:t>default and the Commissioner-General is of the opinion that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7" w:lineRule="auto" w:before="494" w:after="8"/>
        <w:ind w:left="1798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recovery by the means provided in subsection (1)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impracticable or inexpedient, he may issue a certificate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Court having jurisdiction in any district where the </w:t>
      </w:r>
      <w:r>
        <w:rPr>
          <w:rFonts w:ascii="Times" w:hAnsi="Times" w:eastAsia="Times"/>
          <w:b w:val="0"/>
          <w:i w:val="0"/>
          <w:color w:val="221F1F"/>
          <w:sz w:val="20"/>
        </w:rPr>
        <w:t>defaulter resides or in which any property, movable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immovable, owned by the defaulter is situated, containing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particulars of  the Special Goods and Services Tax in default,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name and address of the defaulter  by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Goods and Services Tax  is payable, and the courts </w:t>
      </w:r>
      <w:r>
        <w:rPr>
          <w:rFonts w:ascii="Times" w:hAnsi="Times" w:eastAsia="Times"/>
          <w:b w:val="0"/>
          <w:i w:val="0"/>
          <w:color w:val="221F1F"/>
          <w:sz w:val="20"/>
        </w:rPr>
        <w:t>shall thereupon direct a writ of execution to issue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Fiscal, authorizing and requiring him to seize and sell all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property, movable or immovable, of the defaulter,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such part thereof as he may deem necessary for the recovery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Special Goods and Services Tax in default,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sections 226 to 297 of the Civil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(Chapter 101)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seizure and sale.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Whenever the Commissioner-General of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issues a Certificate under this section, he shall at </w:t>
      </w:r>
      <w:r>
        <w:rPr>
          <w:rFonts w:ascii="Times" w:hAnsi="Times" w:eastAsia="Times"/>
          <w:b w:val="0"/>
          <w:i w:val="0"/>
          <w:color w:val="221F1F"/>
          <w:sz w:val="20"/>
        </w:rPr>
        <w:t>the same time issue to the defaulter whether resident or non-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resident, a notification thereof by registered post. The non-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 of such notification by the defaulter shall not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invalidate proceedings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the Commissioner-General of Inland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Recovery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is of the opinion in any case that recovery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Goods and Services Tax in default by seizure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 is impracticable or inexpedient, or where the full amount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and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Special Goods and Services Tax  in default has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taxes where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collected, the Commissioner General of Inland Revenue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seizure or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issue a certificate containing particulars of the amount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 is</w:t>
            </w:r>
          </w:p>
        </w:tc>
      </w:tr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Special Goods and Services Tax  in default and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impracticable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and last known place of business or residence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defaulter to a Magistrate having jurisdiction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 in which the defaulter resides or is carrying out the </w:t>
      </w:r>
      <w:r>
        <w:rPr>
          <w:rFonts w:ascii="Times" w:hAnsi="Times" w:eastAsia="Times"/>
          <w:b w:val="0"/>
          <w:i w:val="0"/>
          <w:color w:val="221F1F"/>
          <w:sz w:val="20"/>
        </w:rPr>
        <w:t>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shall, on receipt of the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under subsection (1), issue summons on the defaulter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tabs>
          <w:tab w:pos="1408" w:val="left"/>
          <w:tab w:pos="1702" w:val="left"/>
        </w:tabs>
        <w:autoSpaceDE w:val="0"/>
        <w:widowControl/>
        <w:spacing w:line="245" w:lineRule="auto" w:before="4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him to appear before him on a date to be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show cause, as to why further proceedings for the recovery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Tax in default should not be justified against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defaulter and if sufficient cause is not shown, the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Tax in default shall be deemed to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imposed by a sentence of the Magistrate on such defaulter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 offence punishable with fine only or not punishable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imprisonment, and the provisions of subsection (1)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291 (except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(i) thereof)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1979,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default of payment of a fine imposed for such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thereupon apply, and the Magistrate may make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which, by the provisions of that subsection,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could have made at the time of imposing such sentence.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5" w:lineRule="auto" w:before="23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Nothing in subsections (2) to (5) of section 291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Act, No. 15 of 1979 shall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case referred to in subsection (1).</w:t>
      </w:r>
    </w:p>
    <w:p>
      <w:pPr>
        <w:autoSpaceDN w:val="0"/>
        <w:autoSpaceDE w:val="0"/>
        <w:widowControl/>
        <w:spacing w:line="245" w:lineRule="auto" w:before="242" w:after="4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any case referred to in subsection (1) in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>defaulter is sentenced to imprisonment in default of payment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fine deemed by that subsection to have been imposed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defaulter  the Magistrate may allow time not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twelve months, for the payment of the amount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fine or direct payment of that amount to be made by </w:t>
      </w:r>
      <w:r>
        <w:rPr>
          <w:rFonts w:ascii="Times" w:hAnsi="Times" w:eastAsia="Times"/>
          <w:b w:val="0"/>
          <w:i w:val="0"/>
          <w:color w:val="221F1F"/>
          <w:sz w:val="20"/>
        </w:rPr>
        <w:t>instalments.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10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Court may be required bail to be given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 precedent for allowing time under subsection (1)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showing cause as therein provided or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payment of the fine; and the provisions of Chapter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XXXIV of the Code of Criminal Procedure Act, No. 15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1979, shall apply where the defaulter is so required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given bail.</w:t>
      </w:r>
    </w:p>
    <w:p>
      <w:pPr>
        <w:autoSpaceDN w:val="0"/>
        <w:autoSpaceDE w:val="0"/>
        <w:widowControl/>
        <w:spacing w:line="245" w:lineRule="auto" w:before="242" w:after="4"/>
        <w:ind w:left="1702" w:right="2448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payment in installments is directed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(3) and default is made in the payment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installment, the same proceedings may be taken as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 had been made in payment of all the installments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then remaining unpaid.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47" w:lineRule="auto" w:before="522" w:after="0"/>
        <w:ind w:left="149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 under subsection (1), the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Commissioner-General of Inland Revenue 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 evidence that the 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default, and any plea that the Special Goods and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 is excessive, incorrect, or under appeal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entertained.</w:t>
      </w:r>
    </w:p>
    <w:p>
      <w:pPr>
        <w:autoSpaceDN w:val="0"/>
        <w:tabs>
          <w:tab w:pos="1996" w:val="left"/>
          <w:tab w:pos="6736" w:val="left"/>
        </w:tabs>
        <w:autoSpaceDE w:val="0"/>
        <w:widowControl/>
        <w:spacing w:line="245" w:lineRule="auto" w:before="252" w:after="0"/>
        <w:ind w:left="1796" w:right="1296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taxable person who fails to pay all or part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Penalty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Goods and Services Tax required under this Act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late payment</w:t>
      </w:r>
    </w:p>
    <w:p>
      <w:pPr>
        <w:autoSpaceDN w:val="0"/>
        <w:autoSpaceDE w:val="0"/>
        <w:widowControl/>
        <w:spacing w:line="238" w:lineRule="auto" w:before="12" w:after="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date referred to in subsection (2) of section 9 or 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due date as may be specified in the notice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(5) of section 10, shall be liable to a penalty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equal to ten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amount of total due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Except as provided for in subsection (3), (4) or (5)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having a duty under this Act or being employed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administration of this Act, shall regard as secret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19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confidential all information and documents the person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in an official capacity in relation to a taxable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disclose that information only to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persons: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employees who are carrying out their duties as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in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in the course, and for the purpose, of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supervision of the Director-General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Customs, the Commissioner-General of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the Commissioner-General of Excise,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of Telecommunications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Head of any other relevant authority;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2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 or any person authorised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Auditor-General, only when such disclosure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purposes of official duties;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authorities of a foreign country, in accordance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 international agreement entered into with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specific authority;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Attorney-General for the purpose of any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or civil proceedings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actions are instituted by the State or actions filed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against the State or where the opinion or advice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Attorney-General has been sought in writing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authorized institution;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court, in a proceeding to establish a taxable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person’s tax liability or responsibility for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 of the Department of Foreign Exchange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prosecuting violations under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Foreign Exchange Act, No. 12 of 2017;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Commission appointed under the Commissions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Inquiry Act (Chapter 393)  in an investigation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the affairs of any person or any person’s spouse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child; and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to Investigate Allegations of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Bribery or Corruption established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Investigate Allegations of Bribery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Corruption Act, No. 19 of 1994.</w:t>
      </w:r>
    </w:p>
    <w:p>
      <w:pPr>
        <w:autoSpaceDN w:val="0"/>
        <w:autoSpaceDE w:val="0"/>
        <w:widowControl/>
        <w:spacing w:line="247" w:lineRule="auto" w:before="252" w:after="192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who is permitted to disclose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shall maintain secrecy except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extent necessary to achieve the object for which </w:t>
      </w:r>
      <w:r>
        <w:rPr>
          <w:rFonts w:ascii="Times" w:hAnsi="Times" w:eastAsia="Times"/>
          <w:b w:val="0"/>
          <w:i w:val="0"/>
          <w:color w:val="221F1F"/>
          <w:sz w:val="20"/>
        </w:rPr>
        <w:t>disclosure is permitted.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 person who receives information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shall maintain secrecy except to the minimum extent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achieve the object for which the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was received.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7" w:lineRule="auto" w:before="25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Designated Officer may disclose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concerning a taxable person’s affairs to the taxable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taxable person’s authorised agent only after 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reasonable assurance of the authenticity of the claim.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502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Information concerning a taxable person may be</w:t>
      </w:r>
    </w:p>
    <w:p>
      <w:pPr>
        <w:autoSpaceDN w:val="0"/>
        <w:autoSpaceDE w:val="0"/>
        <w:widowControl/>
        <w:spacing w:line="238" w:lineRule="auto" w:before="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disclosed to another person with the written consent of the</w:t>
      </w:r>
    </w:p>
    <w:p>
      <w:pPr>
        <w:autoSpaceDN w:val="0"/>
        <w:autoSpaceDE w:val="0"/>
        <w:widowControl/>
        <w:spacing w:line="238" w:lineRule="auto" w:before="0" w:after="14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taxable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The obligation as to secrecy imposed by this section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continue to apply  in respect of any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that the person ceases to be appointed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employed in carrying out the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any amount of the Special  Goods and Services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is  in default then-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corporate,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the defaulter is a body corporate, every person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 of the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time when the Special Goods and Services Tax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default was a Director, Secretary or similar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body;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the defaulter is a body which is not a body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 to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every person who, at the time when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Goods and Services Tax  is in default was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or partner of that body,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deemed to be personally liable unless he proves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Special Goods and Services Tax  is in default without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knowledge or that he exercised due diligence to ensure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payment of the Special Goods and Services Tax  that was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expenses incurred by the Designated Officer,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officer authorized by him in any suit or prosecution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paid out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brought by or against him before any court, shall be paid out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Consolidated Fund and only costs paid to or recovered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Designated Officer or any officer authorized by him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such suit or prosecution, shall be credited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Any expenses incurred by the Designated Officer,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 authorized by him in any suit or prosecution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brought by or against him before any court in respect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which is done or purported to be done by him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shall, if the court holds that such act was done in good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faith, be paid out of the Consolidated Fund, unless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 are recovered by him in such suit or prosecution.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  <w:tr>
        <w:trPr>
          <w:trHeight w:hRule="exact" w:val="7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8" w:after="0"/>
              <w:ind w:left="864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any tax, duty, levy, cess or any other 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in respect of any specified goods or services 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payable in terms of any enactment set out in the Schedule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hereto on the day prior to the coming into operation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made under subsection (3) of  section 2, such tax,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duty, levy, cess or any other charge shall continue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recoverable in terms of such enactments 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>the making of an Order under subsection (3) of section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in respect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which are required by this Act to be prescribed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which regulations are required or authorized to </w:t>
      </w:r>
      <w:r>
        <w:rPr>
          <w:rFonts w:ascii="Times" w:hAnsi="Times" w:eastAsia="Times"/>
          <w:b w:val="0"/>
          <w:i w:val="0"/>
          <w:color w:val="221F1F"/>
          <w:sz w:val="20"/>
        </w:rPr>
        <w:t>be made under this Act.</w:t>
      </w:r>
    </w:p>
    <w:p>
      <w:pPr>
        <w:autoSpaceDN w:val="0"/>
        <w:tabs>
          <w:tab w:pos="1704" w:val="left"/>
          <w:tab w:pos="1902" w:val="left"/>
        </w:tabs>
        <w:autoSpaceDE w:val="0"/>
        <w:widowControl/>
        <w:spacing w:line="247" w:lineRule="auto" w:before="25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subsection (1), the Minister may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in respect of the following matters:-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5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Email address of the Designated Officer;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5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Form, fees and procedure to be followed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an importer,  a manufacturer or 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 who is liable to pay the Special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and Services Tax under this  Act;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of the certificate of registration to be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issued to the taxable person;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2" w:after="1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of the certificate issued by a qualified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auditor for the purposes of section 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particulars to be contained in the documents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section 8;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and manner to be followed in making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request for a refund the amount of paid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taxable person as the Special Goods and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Tax in  excess of the actual amount which ought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been paid;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51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by the Director-General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Customs, the Commissioner- General of Inland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the Commissioner-General of Excise,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of  Telecommunications or the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4" w:after="23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such other relevant authority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providing information on  any specified goods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imported or manufactured or any specified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by any taxable person;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for any matter which is required to be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or in respect of which regulations are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294" w:after="0"/>
        <w:ind w:left="143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publication,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66" w:lineRule="auto" w:before="280" w:after="0"/>
        <w:ind w:left="143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subsection (1),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three months after its publication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placed before Parliament for approval. Every regulation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 shall be deemed to be rescinded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disapproval, but without prejudice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anything previously done thereunder.</w:t>
      </w:r>
    </w:p>
    <w:p>
      <w:pPr>
        <w:autoSpaceDN w:val="0"/>
        <w:autoSpaceDE w:val="0"/>
        <w:widowControl/>
        <w:spacing w:line="254" w:lineRule="auto" w:before="294" w:after="234"/>
        <w:ind w:left="1796" w:right="2304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“authorized agent” means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individual specified in items (i), (ii)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(iii) who is authorized in writing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person to act on his behalf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purpose of this Act-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50" w:lineRule="auto" w:before="566" w:after="8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the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established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 of the Institute of Chartered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9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Accountants Act, No. 23 of 1959;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Attorney-at-Law;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employee regularly employed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by that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an individual, a relative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authorized in writing by the taxable person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act on his behalf for the purpose of this Act;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0" w:after="19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taxable person is a company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or outside Sri Lanka, the Director,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or Principal Officer of the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partnership, a partner;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trust, a trustee;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body of persons other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a partnership or company, an individual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responsible for accounting for  the receipt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moneys from the  funds on behalf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taxable person is a non-resident, a person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0" w:lineRule="auto" w:before="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controlling the person’s affairs in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manager of a business of that person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autoSpaceDE w:val="0"/>
        <w:widowControl/>
        <w:spacing w:line="250" w:lineRule="auto" w:before="258" w:after="0"/>
        <w:ind w:left="2664" w:right="2516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 of Excise” means,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of Excise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section 7 of the Excise 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52);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28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Special Goods and Services Tax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45" w:lineRule="auto" w:before="508" w:after="138"/>
        <w:ind w:left="2756" w:right="2422" w:hanging="7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“Commissioner-General of Inland Revenue” means,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of Inland Revenue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the provisions of section 97 of </w:t>
      </w:r>
      <w:r>
        <w:rPr>
          <w:rFonts w:ascii="Times" w:hAnsi="Times" w:eastAsia="Times"/>
          <w:b w:val="0"/>
          <w:i w:val="0"/>
          <w:color w:val="221F1F"/>
          <w:sz w:val="20"/>
        </w:rPr>
        <w:t>the Inland Revenue Act, No. 24 of 2017;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9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0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7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936" w:right="1202" w:hanging="7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“Director-General of Customs” means,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Customs appointed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section 2 of the Customs Ordinance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235);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936" w:right="1202" w:hanging="7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“Director-General of Telecommunications”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of Telecommunications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the provisions of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B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Sri Lanka Telecommunications Act, No. 25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1991;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938" w:right="1202" w:hanging="7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“licenced commercial bank” means, a bank licenced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the Banking Act, No. 30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1988;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938" w:right="1202" w:hanging="7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“Liquor” includes spirits of wine, spirits, wine, toddy, beer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all liquid consisting of or containing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alcohol; also any substance which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by notification declare to be considered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Liquor for the purposes of this Act;</w:t>
            </w:r>
          </w:p>
        </w:tc>
      </w:tr>
    </w:tbl>
    <w:p>
      <w:pPr>
        <w:autoSpaceDN w:val="0"/>
        <w:tabs>
          <w:tab w:pos="2758" w:val="left"/>
        </w:tabs>
        <w:autoSpaceDE w:val="0"/>
        <w:widowControl/>
        <w:spacing w:line="245" w:lineRule="auto" w:before="150" w:after="0"/>
        <w:ind w:left="19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means, the Minister to whom this Act is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44 or 45 of the Constitution;</w:t>
      </w:r>
    </w:p>
    <w:p>
      <w:pPr>
        <w:autoSpaceDN w:val="0"/>
        <w:autoSpaceDE w:val="0"/>
        <w:widowControl/>
        <w:spacing w:line="235" w:lineRule="auto" w:before="210" w:after="140"/>
        <w:ind w:left="19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“qualified auditor” 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2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 or of any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Institute established by law, possesses a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Accountant, issued by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of such Institute; or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  <w:tr>
        <w:trPr>
          <w:trHeight w:hRule="exact" w:val="2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which, being a member of the Institute of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 Lanka or of any other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law, possesses a certificate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practice as an Accountant, issued by the Council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Special Goods and Services Tax</w:t>
      </w:r>
    </w:p>
    <w:p>
      <w:pPr>
        <w:autoSpaceDN w:val="0"/>
        <w:autoSpaceDE w:val="0"/>
        <w:widowControl/>
        <w:spacing w:line="247" w:lineRule="auto" w:before="544" w:after="194"/>
        <w:ind w:left="2722" w:right="2516" w:hanging="8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“quarter” means, the period of three months commencing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first day of January, the first day of April,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day of July, and the first day of October </w:t>
      </w:r>
      <w:r>
        <w:rPr>
          <w:rFonts w:ascii="Times" w:hAnsi="Times" w:eastAsia="Times"/>
          <w:b w:val="0"/>
          <w:i w:val="0"/>
          <w:color w:val="221F1F"/>
          <w:sz w:val="20"/>
        </w:rPr>
        <w:t>of each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autoSpaceDN w:val="0"/>
        <w:tabs>
          <w:tab w:pos="4734" w:val="left"/>
        </w:tabs>
        <w:autoSpaceDE w:val="0"/>
        <w:widowControl/>
        <w:spacing w:line="245" w:lineRule="auto" w:before="318" w:after="130"/>
        <w:ind w:left="3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(sections 2,3,4,8 and 18)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8.0" w:type="dxa"/>
      </w:tblPr>
      <w:tblGrid>
        <w:gridCol w:w="3007"/>
        <w:gridCol w:w="3007"/>
        <w:gridCol w:w="3007"/>
      </w:tblGrid>
      <w:tr>
        <w:trPr>
          <w:trHeight w:hRule="exact" w:val="520"/>
        </w:trPr>
        <w:tc>
          <w:tcPr>
            <w:tcW w:type="dxa" w:w="2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288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Colum 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of the Enactment</w:t>
            </w:r>
          </w:p>
        </w:tc>
        <w:tc>
          <w:tcPr>
            <w:tcW w:type="dxa" w:w="18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Colum II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Respective  Tax</w:t>
            </w:r>
          </w:p>
        </w:tc>
      </w:tr>
      <w:tr>
        <w:trPr>
          <w:trHeight w:hRule="exact" w:val="42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Excise Ordinance (Chapter 52)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Excise Duty</w:t>
            </w:r>
          </w:p>
        </w:tc>
      </w:tr>
      <w:tr>
        <w:trPr>
          <w:trHeight w:hRule="exact" w:val="56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Excise (Special Provisions)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13 of 1989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Excise Duty</w:t>
            </w:r>
          </w:p>
        </w:tc>
      </w:tr>
      <w:tr>
        <w:trPr>
          <w:trHeight w:hRule="exact" w:val="58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Telecommunication Levy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21 of 2011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Telecommunication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  <w:tr>
        <w:trPr>
          <w:trHeight w:hRule="exact" w:val="213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Act, No. 35 of 2018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.999999999999545" w:type="dxa"/>
            </w:tblPr>
            <w:tblGrid>
              <w:gridCol w:w="915"/>
              <w:gridCol w:w="915"/>
            </w:tblGrid>
            <w:tr>
              <w:trPr>
                <w:trHeight w:hRule="exact" w:val="468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(i) Cellular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Levy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4" w:after="0"/>
                    <w:ind w:left="1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Tower</w:t>
                  </w:r>
                </w:p>
              </w:tc>
            </w:tr>
          </w:tbl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84" w:after="0"/>
              <w:ind w:left="8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(ii) Luxury Tax 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Motor Vehicle</w:t>
            </w:r>
          </w:p>
          <w:p>
            <w:pPr>
              <w:autoSpaceDN w:val="0"/>
              <w:tabs>
                <w:tab w:pos="360" w:val="left"/>
                <w:tab w:pos="1038" w:val="left"/>
              </w:tabs>
              <w:autoSpaceDE w:val="0"/>
              <w:widowControl/>
              <w:spacing w:line="245" w:lineRule="auto" w:before="14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(iii) Levy on Mobile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Messages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45" w:lineRule="auto" w:before="14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(iv)  Vehicle Entitlement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</w:t>
            </w:r>
          </w:p>
        </w:tc>
      </w:tr>
      <w:tr>
        <w:trPr>
          <w:trHeight w:hRule="exact" w:val="548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Betting and Gaming Levy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40 of 1988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on gross collection</w:t>
            </w:r>
          </w:p>
        </w:tc>
      </w:tr>
      <w:tr>
        <w:trPr>
          <w:trHeight w:hRule="exact" w:val="442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Customs Ordinance (Chapter 235)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Customs Duty</w:t>
            </w:r>
          </w:p>
        </w:tc>
      </w:tr>
      <w:tr>
        <w:trPr>
          <w:trHeight w:hRule="exact" w:val="56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Sri Lanka Export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40 of 1979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</w:t>
            </w:r>
          </w:p>
        </w:tc>
      </w:tr>
      <w:tr>
        <w:trPr>
          <w:trHeight w:hRule="exact" w:val="690"/>
        </w:trPr>
        <w:tc>
          <w:tcPr>
            <w:tcW w:type="dxa" w:w="2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8.</w:t>
            </w:r>
          </w:p>
        </w:tc>
        <w:tc>
          <w:tcPr>
            <w:tcW w:type="dxa" w:w="28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Ports and Airports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18 of 2011</w:t>
            </w:r>
          </w:p>
        </w:tc>
        <w:tc>
          <w:tcPr>
            <w:tcW w:type="dxa" w:w="18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2" w:right="288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Port and Airport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Levy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2.0" w:type="dxa"/>
      </w:tblPr>
      <w:tblGrid>
        <w:gridCol w:w="4510"/>
        <w:gridCol w:w="4510"/>
      </w:tblGrid>
      <w:tr>
        <w:trPr>
          <w:trHeight w:hRule="exact" w:val="420"/>
        </w:trPr>
        <w:tc>
          <w:tcPr>
            <w:tcW w:type="dxa" w:w="455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Special Goods and Services Tax</w:t>
            </w:r>
          </w:p>
        </w:tc>
        <w:tc>
          <w:tcPr>
            <w:tcW w:type="dxa" w:w="173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38" w:lineRule="auto" w:before="907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