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8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332" w:lineRule="exact" w:before="138" w:after="0"/>
        <w:ind w:left="0" w:right="308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January 13, 2022</w:t>
      </w:r>
    </w:p>
    <w:p>
      <w:pPr>
        <w:autoSpaceDN w:val="0"/>
        <w:autoSpaceDE w:val="0"/>
        <w:widowControl/>
        <w:spacing w:line="332" w:lineRule="exact" w:before="24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19.01.2022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52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458" w:after="0"/>
        <w:ind w:left="1440" w:right="144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GALAHA BHADDRAWATHIE NATIONAL BHIKKHU </w:t>
      </w:r>
      <w:r>
        <w:rPr>
          <w:rFonts w:ascii="Times" w:hAnsi="Times" w:eastAsia="Times"/>
          <w:b/>
          <w:i w:val="0"/>
          <w:color w:val="221F1F"/>
          <w:sz w:val="24"/>
        </w:rPr>
        <w:t>CARE CENTRE TRUST</w:t>
      </w:r>
    </w:p>
    <w:p>
      <w:pPr>
        <w:autoSpaceDN w:val="0"/>
        <w:autoSpaceDE w:val="0"/>
        <w:widowControl/>
        <w:spacing w:line="278" w:lineRule="exact" w:before="208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8" w:lineRule="exact" w:before="20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6" w:lineRule="exact" w:before="300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the establishment of a trust called the Galaha Bhaddrawathie </w:t>
      </w:r>
      <w:r>
        <w:rPr>
          <w:rFonts w:ascii="Times" w:hAnsi="Times" w:eastAsia="Times"/>
          <w:b/>
          <w:i w:val="0"/>
          <w:color w:val="000000"/>
          <w:sz w:val="20"/>
        </w:rPr>
        <w:t>National Bhikkhu Care Centre Trust and for matters connected therewith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or incidental thereto</w:t>
      </w:r>
    </w:p>
    <w:p>
      <w:pPr>
        <w:autoSpaceDN w:val="0"/>
        <w:autoSpaceDE w:val="0"/>
        <w:widowControl/>
        <w:spacing w:line="244" w:lineRule="exact" w:before="312" w:after="0"/>
        <w:ind w:left="0" w:right="243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Health</w:t>
      </w:r>
    </w:p>
    <w:p>
      <w:pPr>
        <w:autoSpaceDN w:val="0"/>
        <w:autoSpaceDE w:val="0"/>
        <w:widowControl/>
        <w:spacing w:line="214" w:lineRule="exact" w:before="346" w:after="1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3007"/>
        <w:gridCol w:w="3007"/>
        <w:gridCol w:w="3007"/>
      </w:tblGrid>
      <w:tr>
        <w:trPr>
          <w:trHeight w:hRule="exact" w:val="452"/>
        </w:trPr>
        <w:tc>
          <w:tcPr>
            <w:tcW w:type="dxa" w:w="3008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28" w:lineRule="exact" w:before="0" w:after="0"/>
              <w:ind w:left="6" w:right="0" w:firstLine="0"/>
              <w:jc w:val="left"/>
            </w:pPr>
            <w:r>
              <w:tab/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TO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PURCHASED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GOVERNM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24.00</w:t>
            </w:r>
          </w:p>
        </w:tc>
        <w:tc>
          <w:tcPr>
            <w:tcW w:type="dxa" w:w="3242"/>
            <w:gridSpan w:val="2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2" w:val="left"/>
              </w:tabs>
              <w:autoSpaceDE w:val="0"/>
              <w:widowControl/>
              <w:spacing w:line="254" w:lineRule="exact" w:before="0" w:after="0"/>
              <w:ind w:left="8" w:right="0" w:firstLine="0"/>
              <w:jc w:val="left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PUBLICATIONS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BUREAU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 xml:space="preserve">5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736"/>
        </w:trPr>
        <w:tc>
          <w:tcPr>
            <w:tcW w:type="dxa" w:w="53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Gazette Supplement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7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1330" cy="4737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" cy="473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Galaha Bhaddrawathie National Bhikkhu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Care Centre Trust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5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26/2016</w:t>
      </w:r>
    </w:p>
    <w:p>
      <w:pPr>
        <w:autoSpaceDN w:val="0"/>
        <w:autoSpaceDE w:val="0"/>
        <w:widowControl/>
        <w:spacing w:line="236" w:lineRule="exact" w:before="234" w:after="140"/>
        <w:ind w:left="2038" w:right="242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TRUST</w:t>
      </w:r>
      <w:r>
        <w:rPr>
          <w:rFonts w:ascii="Times" w:hAnsi="Times" w:eastAsia="Times"/>
          <w:b w:val="0"/>
          <w:i w:val="0"/>
          <w:color w:val="221F1F"/>
          <w:sz w:val="14"/>
        </w:rPr>
        <w:t>CALLED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ALAHA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HADDRAWATHIE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HIKKHU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ENTRE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RUST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2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WHEREAS a Trust called and known as the “Galaha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Bhaddrawathie National Bhikkhu Care Centre Trust”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heretofore been established by a Public Trust dated February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7, 2003 for the purpose of establishing and maintaining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Bhikkhu Care Centre, for Bhikkhus who are sick and helpless: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2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8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WHEREAS it has now become apparent that the said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Trust is not functioning properly and therefore it is not possible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maintain the said Galaha Bhaddrawathie National Bhikkhu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Care Centre due to various reasons including the absence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 administration in the said Galaha Bhaddrawathie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Bhikkhu Care Centre and the absence of a regular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adequate funding system for the proper functioning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said Galaha Bhaddrawathie National Bhikkhu Care Centre: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WHEREAS it has become necessary to enact legislation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provide for the establishment of a Trust called the Galaha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Bhaddrawathie National Bhikkhu Care Centre Trust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achieve the objects of the said Galaha Bhaddrawathie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Bhikkhu Care Centre for the benefit of the Bhikkhus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are sick and helpless and to matters connected therewith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incidental thereto: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1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74" w:after="14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80" w:lineRule="exact" w:before="5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Galaha Bhaddrawathie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Bhikkhu Care Centre Trust Act, No.      of  2022.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8" w:val="left"/>
              </w:tabs>
              <w:autoSpaceDE w:val="0"/>
              <w:widowControl/>
              <w:spacing w:line="278" w:lineRule="exact" w:before="11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 Trust to be called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Galaha Bhaddrawathie National Bhikkhu Care Centre Trust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Galaha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Bhaddrawathie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Bhikkhu Care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Centre Trust</w:t>
            </w:r>
          </w:p>
        </w:tc>
      </w:tr>
      <w:tr>
        <w:trPr>
          <w:trHeight w:hRule="exact" w:val="7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“Trust”).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Galaha Bhaddrawathie National Bhikkhu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4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object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Trust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Care Centre Trust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Trust shall, by the name assigned to it by subsection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 be a body corporate and shall have perpetual succession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by that name may sue and be sued with full power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to have, and use a common seal and to alter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same.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0" w:val="left"/>
              </w:tabs>
              <w:autoSpaceDE w:val="0"/>
              <w:widowControl/>
              <w:spacing w:line="278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 of the Trust shall be to facilitate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accommodation and caring for sick and helpless Bhikkhus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Galaha Bhaddrawathie National Bhikkhu Care Centre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“Bhikkhu Care Centre”).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functions of the Trust are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Trust</w:t>
            </w:r>
          </w:p>
        </w:tc>
      </w:tr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maintain the Galaha Bhaddrawathie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3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Trust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Bhikkhu Care Centre for Bhikkhus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are sick and helpless and accommodate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sick and helpless Bhikkhus in the Bhikkhu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Care Centre on such conditions and criteria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prescribed by section 8;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the Bhikkhus residing 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Bhikkhu Care Centre who are sick, with 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necessities including the day to day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requirements and to facilitate the obtaining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medicines and medical treatment;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organize and conduct meditation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programmes and other Buddhist programmes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Bhikkhus residing in the Bhikkhu Care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Centre with a view to improving the mental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health of those Bhikkhus;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 maintain a library in order to facilitate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improving and refreshing the knowledge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Buddhism of the resident Bhikkhus.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  <w:tab w:pos="730" w:val="left"/>
              </w:tabs>
              <w:autoSpaceDE w:val="0"/>
              <w:widowControl/>
              <w:spacing w:line="236" w:lineRule="exact" w:before="148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administration, management and control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affairs of the Trust shall be vested in a Board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(hereinafter referred to as “the Board”).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Galaha Bhaddrawathie National Bhikkhu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Care Centre Trust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8" w:lineRule="exact" w:before="142" w:after="11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Board shall consist of–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8" w:after="0"/>
              <w:ind w:left="0" w:right="5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members:–</w:t>
            </w:r>
          </w:p>
        </w:tc>
      </w:tr>
      <w:tr>
        <w:trPr>
          <w:trHeight w:hRule="exact" w:val="1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2" w:after="0"/>
              <w:ind w:left="496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the Secretary to the Ministry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assigned the subject of Health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his representative who is not below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rank of an Additional Secretary;</w:t>
            </w:r>
          </w:p>
        </w:tc>
      </w:tr>
      <w:tr>
        <w:trPr>
          <w:trHeight w:hRule="exact" w:val="132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2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0" w:after="0"/>
              <w:ind w:left="496" w:right="1202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the Secretary to the Ministry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assigned the subject of Buddha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Sasana or his representative who is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below the rank of an Additional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Secretary;</w:t>
            </w:r>
          </w:p>
        </w:tc>
      </w:tr>
      <w:tr>
        <w:trPr>
          <w:trHeight w:hRule="exact" w:val="13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0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2" w:after="0"/>
              <w:ind w:left="496" w:right="1202" w:hanging="4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the Secretary to the Ministry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assigned the subject of Social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or his representative who is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below the rank of an Additional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Secretary;</w:t>
            </w:r>
          </w:p>
        </w:tc>
      </w:tr>
      <w:tr>
        <w:trPr>
          <w:trHeight w:hRule="exact" w:val="111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2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496" w:right="1202" w:hanging="40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(iv) the Secretary to the Ministry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assigned the subject of Finance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his representative who is not below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rank of an Additional Secretary;</w:t>
            </w:r>
          </w:p>
        </w:tc>
      </w:tr>
    </w:tbl>
    <w:p>
      <w:pPr>
        <w:autoSpaceDN w:val="0"/>
        <w:autoSpaceDE w:val="0"/>
        <w:widowControl/>
        <w:spacing w:line="222" w:lineRule="exact" w:before="138" w:after="118"/>
        <w:ind w:left="335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the Commissioner-General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Buddhist Affairs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representative;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2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2" w:after="0"/>
              <w:ind w:left="0" w:right="6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6" w:val="left"/>
              </w:tabs>
              <w:autoSpaceDE w:val="0"/>
              <w:widowControl/>
              <w:spacing w:line="220" w:lineRule="exact" w:before="106" w:after="0"/>
              <w:ind w:left="67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(vi) Diyawadane Nilame of Sri Dalada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Maligawa or his representative;</w:t>
            </w:r>
          </w:p>
        </w:tc>
      </w:tr>
    </w:tbl>
    <w:p>
      <w:pPr>
        <w:autoSpaceDN w:val="0"/>
        <w:tabs>
          <w:tab w:pos="3356" w:val="left"/>
        </w:tabs>
        <w:autoSpaceDE w:val="0"/>
        <w:widowControl/>
        <w:spacing w:line="224" w:lineRule="exact" w:before="138" w:after="118"/>
        <w:ind w:left="28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the Public Trustee or his representative;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3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8" w:after="0"/>
              <w:ind w:left="0" w:right="3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736" w:right="1204" w:hanging="36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following members appointed by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members”):–</w:t>
            </w:r>
          </w:p>
        </w:tc>
      </w:tr>
    </w:tbl>
    <w:p>
      <w:pPr>
        <w:autoSpaceDN w:val="0"/>
        <w:autoSpaceDE w:val="0"/>
        <w:widowControl/>
        <w:spacing w:line="220" w:lineRule="exact" w:before="164" w:after="0"/>
        <w:ind w:left="3356" w:right="2304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two members having knowledge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experience in administration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Galaha Bhaddrawathie National Bhikkhu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Care Centre Trust</w:t>
            </w:r>
          </w:p>
        </w:tc>
      </w:tr>
    </w:tbl>
    <w:p>
      <w:pPr>
        <w:autoSpaceDN w:val="0"/>
        <w:autoSpaceDE w:val="0"/>
        <w:widowControl/>
        <w:spacing w:line="232" w:lineRule="exact" w:before="186" w:after="136"/>
        <w:ind w:left="32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accountancy appointed by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consultation with the Secretary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24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0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1082" w:right="1256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four Bhikkhus nominated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Mahanayaka Theros of the Malwathu,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Asgiri, Amarapura and Ramanna Chapters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represent such Chapters one of whom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appointed as the Chairperson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Board;</w:t>
            </w:r>
          </w:p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34" w:lineRule="exact" w:before="228" w:after="0"/>
              <w:ind w:left="6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the President of the Dayaka Sabha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Galaha Bhaddrawathie temple.</w:t>
            </w:r>
          </w:p>
        </w:tc>
      </w:tr>
    </w:tbl>
    <w:p>
      <w:pPr>
        <w:autoSpaceDN w:val="0"/>
        <w:autoSpaceDE w:val="0"/>
        <w:widowControl/>
        <w:spacing w:line="232" w:lineRule="exact" w:before="170" w:after="12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has become a member of the Board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rPr>
          <w:rFonts w:ascii="Times" w:hAnsi="Times" w:eastAsia="Times"/>
          <w:b w:val="0"/>
          <w:i/>
          <w:color w:val="221F1F"/>
          <w:sz w:val="20"/>
        </w:rPr>
        <w:t>ex-offficio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capacity shall hold office as long as he holds </w:t>
      </w:r>
      <w:r>
        <w:rPr>
          <w:rFonts w:ascii="Times" w:hAnsi="Times" w:eastAsia="Times"/>
          <w:b w:val="0"/>
          <w:i w:val="0"/>
          <w:color w:val="221F1F"/>
          <w:sz w:val="20"/>
        </w:rPr>
        <w:t>such office by virtue of which he is a member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8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3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8" w:after="0"/>
              <w:ind w:left="8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Any appointed member of the Board shall unless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vacancy arises in his post by resignation, death or removal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office, hold office for three years from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appointment. Any member whose term is due to end otherwise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than by removal shall be eligible for reappointment.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reappointment shall be for not more than one further term,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consecutive or not.</w:t>
            </w:r>
          </w:p>
          <w:p>
            <w:pPr>
              <w:autoSpaceDN w:val="0"/>
              <w:autoSpaceDE w:val="0"/>
              <w:widowControl/>
              <w:spacing w:line="232" w:lineRule="exact" w:before="230" w:after="0"/>
              <w:ind w:left="8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In the event of the vacation of office by death,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resignation or removal of any appointed member,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subject to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(2), appoint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another person to fill such vacancy and such person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 office for the un-expired period of the term of office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 whom he succeeds.</w:t>
            </w:r>
          </w:p>
          <w:p>
            <w:pPr>
              <w:autoSpaceDN w:val="0"/>
              <w:autoSpaceDE w:val="0"/>
              <w:widowControl/>
              <w:spacing w:line="232" w:lineRule="exact" w:before="234" w:after="0"/>
              <w:ind w:left="8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Any appointed member who is temporarily unable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discharge his duties and functions as a member of the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due to ill health, infirmity, being absent from Sri Lanka or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reason for not less than three months shall inform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Minister in writing. In such event the Minister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regard to the provisions of subsection (2), appoint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 person to act in the place of such member.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68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2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Galaha Bhaddrawathie National Bhikkhu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17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Care Centre Trust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such person is or becomes a Member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or a Provincial Council or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Authority;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such person is under any law in force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or in any other country found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declared to be of unsound mind;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such person is a person having been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declared as an insolvent or a bankrupt person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law in Sri Lanka or any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 and is an undischarged insolvent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bankrupt;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such person is serving or has served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sentence of imprisonment imposed by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in Sri Lanka or any other country,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 be disqualified from being appointed or continue to </w:t>
      </w:r>
      <w:r>
        <w:rPr>
          <w:rFonts w:ascii="Times" w:hAnsi="Times" w:eastAsia="Times"/>
          <w:b w:val="0"/>
          <w:i w:val="0"/>
          <w:color w:val="221F1F"/>
          <w:sz w:val="20"/>
        </w:rPr>
        <w:t>be a member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6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6" w:val="left"/>
              </w:tabs>
              <w:autoSpaceDE w:val="0"/>
              <w:widowControl/>
              <w:spacing w:line="278" w:lineRule="exact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subject to the provisions of this Act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written law, have the power–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5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9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18" w:right="44" w:hanging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receive grants, gifts and donations, both movable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immovable in cash or in kind, whether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or foreign sources: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798" w:right="42" w:firstLine="18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Board shall obtain prior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approval of the Department of External Resources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respect of all foreign grants, gifts or donations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to the Trust;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118" w:right="42" w:hanging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acquire or hold any property, movable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immovable, which may become vested in the Trust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this Act or by virtue of any purchase, gift,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 or otherwise and,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Galaha Bhaddrawathie National Bhikkhu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Care Centre Trust</w:t>
            </w:r>
          </w:p>
        </w:tc>
      </w:tr>
    </w:tbl>
    <w:p>
      <w:pPr>
        <w:autoSpaceDN w:val="0"/>
        <w:autoSpaceDE w:val="0"/>
        <w:widowControl/>
        <w:spacing w:line="260" w:lineRule="exact" w:before="17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this Act to sell, mortgage, lease, grant,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convey, device, assign, exchange or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of any property to which the Trust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become entitled to;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and perform, either directly or through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75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Accommodation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etc.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Bhikkhus</w:t>
            </w:r>
          </w:p>
        </w:tc>
      </w:tr>
      <w:tr>
        <w:trPr>
          <w:trHeight w:hRule="exact" w:val="2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officers, employees and agents authorized in that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by the Board, all such contracts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agreements as may be necessary for the exercise,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and discharge of the powers, duties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 of the Trust;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open, operate and close bank accounts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as may be recommended by the Board.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conditions and criteria for accommodating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Bhikkhus in the Bhikkhu Care Centre and caring for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Bhikkhus shall be as prescribed by regulations.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54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Trust shall be capable in law to take and hold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2" w:after="0"/>
              <w:ind w:left="62" w:right="77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Trust to hold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property, movable or immovable, which may become vested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 by virtue of any purchase, grant, gift, testamentary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 and all such property shall be held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Trust for the purposes of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56" w:after="0"/>
              <w:ind w:left="0" w:right="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Meetings of the Board shall be held at least once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6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three months.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Chairman shall, if present preside at every meeting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Board. In the absence of the Chairman from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of the Board, the members present at such meeting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elect from among themselves a member to preside 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meeting.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60" w:lineRule="exact" w:before="20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quorum for any meeting of the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nine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Galaha Bhaddrawathie National Bhikkhu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Care Centre Trust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46" w:lineRule="exact" w:before="178" w:after="16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there is an equality of votes at any meeting,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or the member presiding at such meeting shall in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vote, 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The Board may subject to the provisions of this Act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38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attending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meetings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Board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regulate the procedure to be followed in regard to its meetings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transaction of its business.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No act, decision or proceeding of the Board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invalid by reason only of the existence of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among its members or any defect in the appointment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member thereof.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0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Board may be paid such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remuneration for attendance at meetings of the Board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Minister with the concurrence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assigned the subject of Finance.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12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an advisory committee consisting of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Mahanayake Theros of the Malwathu, Asgiri, Amarapura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7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Advisory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Ramanna Chapters to advise the Board on matters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1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Galaha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Bhaddrawathie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Bhikkhu Care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Centre Trust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the Bhikkhu Care Centre.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 Fund called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Galaha Bhaddrawathie National Bhikkhu Care Centre Trust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(hereinafter referred to as the “Fund”).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management, administration, control and operation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shall be vested in the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40" w:after="13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paid into the Fund–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85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8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12" w:after="0"/>
              <w:ind w:left="79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all such sums of monies allocated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Parliament, from time to time,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carrying out the objects of the Fund;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98" w:right="1204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grant, gift or donation in cash or kind,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or outside to achieve the objects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Fund, subject to section 7(2)(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Galaha Bhaddrawathie National Bhikkhu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Care Centre Trust</w:t>
            </w:r>
          </w:p>
        </w:tc>
      </w:tr>
    </w:tbl>
    <w:p>
      <w:pPr>
        <w:autoSpaceDN w:val="0"/>
        <w:autoSpaceDE w:val="0"/>
        <w:widowControl/>
        <w:spacing w:line="234" w:lineRule="exact" w:before="184" w:after="12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required to defray the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 in the exercise, performance and discharge of its powers, </w:t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7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4" w:val="left"/>
              </w:tabs>
              <w:autoSpaceDE w:val="0"/>
              <w:widowControl/>
              <w:spacing w:line="278" w:lineRule="exact" w:before="76" w:after="0"/>
              <w:ind w:left="38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Trust may appoint such number of officers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employees as it may consider necessary for the efficient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its functions.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7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staff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Trust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34" w:lineRule="exact" w:before="174" w:after="14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Trust may in respect of the officers and employees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under subsection (1)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64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102" w:right="0" w:hanging="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disciplinary control over or dismiss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employees;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7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102" w:right="0" w:hanging="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determine the terms and conditions of employment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officers and employees;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58" w:hanging="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 such officers and employees such remuneration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may be determined by the Board in consultation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Minister assigned the subject of Finance.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6" w:val="left"/>
              </w:tabs>
              <w:autoSpaceDE w:val="0"/>
              <w:widowControl/>
              <w:spacing w:line="232" w:lineRule="exact" w:before="160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At the request of the Board, any officer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service may, with the consent of that officer and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Public Service Commission be temporarily appointed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staff of the Trust for such period as may be determined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Board, or with like consent, be permanently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such staff.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Where any officer in the public service is temporarily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to the staff of the Trust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(2) of section 14 of the National Transport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Act, No. 37 of 1991 shall,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and in relation to such officer.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8" w:after="0"/>
              <w:ind w:left="84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Where any officer in the public service is permanently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to the staff of the Trust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(3) of section 14 of the National Transport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Act, No. 37 of 1991 shall,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and in relation to such officer.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Galaha Bhaddrawathie National Bhikkhu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1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year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  <w:tr>
        <w:trPr>
          <w:trHeight w:hRule="exact" w:val="36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17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Care Centre Trust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Trust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62" w:lineRule="exact" w:before="14" w:after="19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 cause proper books of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>kept of the income and expenditure of the Trust.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provisions of Article 154 of the Constitution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2" w:after="0"/>
              <w:ind w:left="0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reports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the audit of accounts of Public Corporations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the audit of accounts of the Trust.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within six months of the end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financial year submit to the Minister an annual report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activities carried out by the Trust along with the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seal of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audited accounts of the Trust for the year.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shall within three months from the date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receipt of the annual report, table such report along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documents specified in subsection (1) in Parliament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consideration.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8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Board–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</w:tbl>
    <w:p>
      <w:pPr>
        <w:autoSpaceDN w:val="0"/>
        <w:autoSpaceDE w:val="0"/>
        <w:widowControl/>
        <w:spacing w:line="260" w:lineRule="exact" w:before="40" w:after="194"/>
        <w:ind w:left="3238" w:right="2422" w:hanging="37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determined by the Board and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altered in such manner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64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7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998" w:right="1202" w:hanging="37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shall be in the custody of such person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Board may determine,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time;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998" w:right="1202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shall not be affixed to any instrument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document except with the sanction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and in the presence of the Chairman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another member of the Board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sign the instrument or document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token of their presence.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Galaha Bhaddrawathie National Bhikkhu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Care Centre Trust</w:t>
            </w:r>
          </w:p>
        </w:tc>
      </w:tr>
    </w:tbl>
    <w:p>
      <w:pPr>
        <w:autoSpaceDN w:val="0"/>
        <w:autoSpaceDE w:val="0"/>
        <w:widowControl/>
        <w:spacing w:line="246" w:lineRule="exact" w:before="178" w:after="16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 maintain a register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Board is </w:t>
      </w:r>
      <w:r>
        <w:rPr>
          <w:rFonts w:ascii="Times" w:hAnsi="Times" w:eastAsia="Times"/>
          <w:b w:val="0"/>
          <w:i w:val="0"/>
          <w:color w:val="221F1F"/>
          <w:sz w:val="20"/>
        </w:rPr>
        <w:t>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4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expense incurred by the Trust in any suit or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 brought by, or against the Trust before any court,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Recovery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any suit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out of the moneys of the Fund and any cost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recovered by the Trust in any such suit or prosecution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credited to the Fund.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Any expense incurred by any member of the Board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officer or employee of the Trust in any suit or prosecution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brought against him in any court in respect of any act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done or purported to be done by him under this Act or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direction of the Board shall, if the court holds that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was  done in good faith, be paid out of the Fund unless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expense is recovered by him in such suit or prosecution.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8" w:val="left"/>
              </w:tabs>
              <w:autoSpaceDE w:val="0"/>
              <w:widowControl/>
              <w:spacing w:line="278" w:lineRule="exact" w:before="11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in consultation with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Mahanayaka Theros of the Malwathu, Asgiri, Amarapura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Ramanna Chapters, make regulations for matters required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this Act to be prescribed or in respect of which regulations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authorized to be made.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66" w:after="15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6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8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Every regulation made by the Minister shall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three months after its publication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be brought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Parliament for its approval. Every regulation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not so approved by Parliament shall be 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rescinded as from the date of such disapproval, but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prejudice to anything previously done thereunder.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8" w:lineRule="exact" w:before="17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Notice of the date on which any regulation is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disapproved shall be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Galaha Bhaddrawathie National Bhikkhu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17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Care Centre Trust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4" w:val="left"/>
              </w:tabs>
              <w:autoSpaceDE w:val="0"/>
              <w:widowControl/>
              <w:spacing w:line="280" w:lineRule="exact" w:before="104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may make rules in respect of 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authorized to be made by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13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Without prejudice to the generality of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subsection (1), rules may be made in respect of all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matters:–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40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administration and management of the Trust;</w:t>
      </w:r>
    </w:p>
    <w:p>
      <w:pPr>
        <w:autoSpaceDN w:val="0"/>
        <w:autoSpaceDE w:val="0"/>
        <w:widowControl/>
        <w:spacing w:line="266" w:lineRule="exact" w:before="202" w:after="142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conduct of its meetings and matteers relating thereto;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5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618" w:right="1204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conduct inquiries in respect of breach of conditions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criteria relating to accommodating and caring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Bhikkhus in the Bhikku Care Centre; and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34" w:lineRule="exact" w:before="174" w:after="14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programmes organized and conducted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Bhikkhu Care Centre.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62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4" w:val="left"/>
              </w:tabs>
              <w:autoSpaceDE w:val="0"/>
              <w:widowControl/>
              <w:spacing w:line="280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officers and servants of the Trust shall be deemed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public servants within the meaning and for the purpose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Penal Code (Chapter 19).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servants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Trust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servants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 Code</w:t>
            </w:r>
          </w:p>
        </w:tc>
      </w:tr>
      <w:tr>
        <w:trPr>
          <w:trHeight w:hRule="exact" w:val="11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0" w:val="left"/>
              </w:tabs>
              <w:autoSpaceDE w:val="0"/>
              <w:widowControl/>
              <w:spacing w:line="278" w:lineRule="exact" w:before="7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Trust shall be deemed to be a scheduled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Bribery Act (Chapter 26).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Trust 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meaning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Bribery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80" w:lineRule="exact" w:before="56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requires:–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6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798" w:right="0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“Bhikkhu” shall have the same meaning as assigned to it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Buddhist Temporalities Ordinance (Chapter 318);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42" w:lineRule="exact" w:before="166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to whom the implementation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of this Act is assigned.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Galaha Bhaddrawathie National Bhikkhu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129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172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Care Centre Trust</w:t>
            </w:r>
          </w:p>
          <w:p>
            <w:pPr>
              <w:autoSpaceDN w:val="0"/>
              <w:tabs>
                <w:tab w:pos="1102" w:val="left"/>
                <w:tab w:pos="1570" w:val="left"/>
              </w:tabs>
              <w:autoSpaceDE w:val="0"/>
              <w:widowControl/>
              <w:spacing w:line="234" w:lineRule="exact" w:before="260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the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292"/>
        </w:trPr>
        <w:tc>
          <w:tcPr>
            <w:tcW w:type="dxa" w:w="47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Galaha Bhaddrawathie National Bhikkhu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Care Centre Trust</w:t>
            </w:r>
          </w:p>
        </w:tc>
        <w:tc>
          <w:tcPr>
            <w:tcW w:type="dxa" w:w="15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150" w:lineRule="exact" w:before="52" w:after="0"/>
        <w:ind w:left="0" w:right="33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