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3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4" w:after="0"/>
        <w:ind w:left="2016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FAUNA AND FLORA PROTECTION </w:t>
      </w:r>
      <w:r>
        <w:rPr>
          <w:rFonts w:ascii="Times" w:hAnsi="Times" w:eastAsia="Times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28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206" w:after="0"/>
        <w:ind w:left="2160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amend the Fauna and Flora Protection Ordinance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(Chapter 469)</w:t>
      </w:r>
    </w:p>
    <w:p>
      <w:pPr>
        <w:autoSpaceDN w:val="0"/>
        <w:autoSpaceDE w:val="0"/>
        <w:widowControl/>
        <w:spacing w:line="235" w:lineRule="auto" w:before="23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Wildlife and Forest Conservation </w:t>
      </w:r>
      <w:r>
        <w:rPr>
          <w:rFonts w:ascii="Times" w:hAnsi="Times" w:eastAsia="Times"/>
          <w:b w:val="0"/>
          <w:i/>
          <w:color w:val="221F1F"/>
          <w:sz w:val="20"/>
        </w:rPr>
        <w:t>on 20th of January, 2022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19, 2021)</w:t>
      </w:r>
    </w:p>
    <w:p>
      <w:pPr>
        <w:autoSpaceDN w:val="0"/>
        <w:autoSpaceDE w:val="0"/>
        <w:widowControl/>
        <w:spacing w:line="235" w:lineRule="auto" w:before="254" w:after="126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100]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6" w:right="1340" w:firstLine="262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replaces the long title to the Fauna and Flora Protection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469)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amendment is to expand the scope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71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as amended is to empower the Minister to make regulations in order to give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Convention on International Trade in Endangered Species of Wild Fauna and Flora </w:t>
      </w:r>
      <w:r>
        <w:rPr>
          <w:rFonts w:ascii="Times" w:hAnsi="Times" w:eastAsia="Times"/>
          <w:b w:val="0"/>
          <w:i w:val="0"/>
          <w:color w:val="221F1F"/>
          <w:sz w:val="16"/>
        </w:rPr>
        <w:t>(CITES).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13/2017</w:t>
      </w:r>
    </w:p>
    <w:p>
      <w:pPr>
        <w:autoSpaceDN w:val="0"/>
        <w:autoSpaceDE w:val="0"/>
        <w:widowControl/>
        <w:spacing w:line="254" w:lineRule="auto" w:before="29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AUNA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LORA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469)</w:t>
      </w:r>
    </w:p>
    <w:p>
      <w:pPr>
        <w:autoSpaceDN w:val="0"/>
        <w:autoSpaceDE w:val="0"/>
        <w:widowControl/>
        <w:spacing w:line="254" w:lineRule="auto" w:before="294" w:after="17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Fauna and Flora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7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Protection 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long title to the Fauna and Flora Protection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469)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Long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Title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is hereby repealed and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469)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long title substituted therefor:—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18" w:val="left"/>
          <w:tab w:pos="2378" w:val="left"/>
        </w:tabs>
        <w:autoSpaceDE w:val="0"/>
        <w:widowControl/>
        <w:spacing w:line="269" w:lineRule="auto" w:before="172" w:after="17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“An Ordinance to provide for the protection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conservation of the Fauna and Flora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habitats; for the prevention of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misuse of such Fauna and Flora and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habitats; for the conservation of biodiversity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Lanka; to take such measures to give effect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convention on International Trade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Endangered species of Wild Fauna and Flora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(CITES); and to provide for matters 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therewith or incidental thereto.”.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the insertion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71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6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>) all matters necessary for the enforcement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Convention on International Trade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Endangered Species of Wild Fauna and Flora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(CITES), subject to the prior written approved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Fauna and Flora Protection (Amendment)</w:t>
      </w:r>
    </w:p>
    <w:p>
      <w:pPr>
        <w:autoSpaceDN w:val="0"/>
        <w:autoSpaceDE w:val="0"/>
        <w:widowControl/>
        <w:spacing w:line="264" w:lineRule="auto" w:before="508" w:after="16"/>
        <w:ind w:left="2422" w:right="2516" w:hanging="4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 of ad-hoc committees,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their recommendations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to be issued under the Convention on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Trade in Endangered Species of Wild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Fauna and Flora (CITES);”.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56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