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696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1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178" w:after="0"/>
        <w:ind w:left="0" w:right="2270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VALUE ADDED TAX  (AMENDMENT)</w:t>
      </w:r>
    </w:p>
    <w:p>
      <w:pPr>
        <w:autoSpaceDN w:val="0"/>
        <w:autoSpaceDE w:val="0"/>
        <w:widowControl/>
        <w:spacing w:line="266" w:lineRule="exact" w:before="314" w:after="0"/>
        <w:ind w:left="0" w:right="44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66" w:lineRule="exact" w:before="310" w:after="0"/>
        <w:ind w:left="0" w:right="42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310" w:after="0"/>
        <w:ind w:left="0" w:right="2430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Value Added Tax Act, No. 14 of 2002</w:t>
      </w:r>
    </w:p>
    <w:p>
      <w:pPr>
        <w:autoSpaceDN w:val="0"/>
        <w:autoSpaceDE w:val="0"/>
        <w:widowControl/>
        <w:spacing w:line="244" w:lineRule="exact" w:before="26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6" w:lineRule="exact" w:before="166" w:after="0"/>
        <w:ind w:left="18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Finance on 20th of January, 2022</w:t>
      </w:r>
    </w:p>
    <w:p>
      <w:pPr>
        <w:autoSpaceDN w:val="0"/>
        <w:autoSpaceDE w:val="0"/>
        <w:widowControl/>
        <w:spacing w:line="268" w:lineRule="exact" w:before="214" w:after="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 07, 2022)</w:t>
      </w:r>
    </w:p>
    <w:p>
      <w:pPr>
        <w:autoSpaceDN w:val="0"/>
        <w:autoSpaceDE w:val="0"/>
        <w:widowControl/>
        <w:spacing w:line="246" w:lineRule="exact" w:before="232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24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6" w:lineRule="exact" w:before="29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102]</w:t>
      </w:r>
    </w:p>
    <w:p>
      <w:pPr>
        <w:autoSpaceDN w:val="0"/>
        <w:autoSpaceDE w:val="0"/>
        <w:widowControl/>
        <w:spacing w:line="214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76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08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5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88" w:lineRule="exact" w:before="196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amends section 25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Value Added Tax Act, No. 14 of 2002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(hereinafter referred to as the “principal enactment”) and the legal effect of that section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as amended is to increase the VAT rate from 15% to 18% </w:t>
      </w:r>
      <w:r>
        <w:rPr>
          <w:rFonts w:ascii="Times" w:hAnsi="Times" w:eastAsia="Times"/>
          <w:b w:val="0"/>
          <w:i/>
          <w:color w:val="000000"/>
          <w:sz w:val="16"/>
        </w:rPr>
        <w:t>per centum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on supply of financial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services on financial institutions with effect from January 1, 2022.</w:t>
      </w:r>
    </w:p>
    <w:p>
      <w:pPr>
        <w:autoSpaceDN w:val="0"/>
        <w:autoSpaceDE w:val="0"/>
        <w:widowControl/>
        <w:spacing w:line="186" w:lineRule="exact" w:before="136" w:after="0"/>
        <w:ind w:left="1436" w:right="134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3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Part II of the First Schedule to the principal enactment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to exempt certain goods and services from VAT in order to give effect to budget proposals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2022.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0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51/2021</w:t>
      </w:r>
    </w:p>
    <w:p>
      <w:pPr>
        <w:autoSpaceDN w:val="0"/>
        <w:autoSpaceDE w:val="0"/>
        <w:widowControl/>
        <w:spacing w:line="268" w:lineRule="exact" w:before="238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50" w:lineRule="exact" w:before="254" w:after="17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80" w:lineRule="exact" w:before="5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Value Added Tax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  of 2022.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80" w:lineRule="exact" w:before="13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Value Added Tax Act, No. 14 of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2002 (hereinafter referred to as the “principal enactment”) is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14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2002</w:t>
            </w:r>
          </w:p>
        </w:tc>
      </w:tr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subsection (3) thereof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subsection, for the words and figures, “commencing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November 1, 2016, shall be fifteen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 of the words and figures “commencing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November 1, 2016 but ending on or before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December 31, 2021, shall be fifteen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;”;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by the addition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subsection of the following:-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998" w:val="left"/>
        </w:tabs>
        <w:autoSpaceDE w:val="0"/>
        <w:widowControl/>
        <w:spacing w:line="252" w:lineRule="exact" w:before="188" w:after="176"/>
        <w:ind w:left="25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commencing on or after January 1, 2022,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eighteen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4" w:val="left"/>
              </w:tabs>
              <w:autoSpaceDE w:val="0"/>
              <w:widowControl/>
              <w:spacing w:line="280" w:lineRule="exact" w:before="5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PART II thereof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PART-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9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 in item (xxxi) of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paragraph, for the words and figures, “with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from May 20, 2020.” of the words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figures “with effect from May 20, 2020,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ending on December 31, 2021;”;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Value Added Tax (Amendment)</w:t>
      </w:r>
    </w:p>
    <w:p>
      <w:pPr>
        <w:autoSpaceDN w:val="0"/>
        <w:tabs>
          <w:tab w:pos="2902" w:val="left"/>
        </w:tabs>
        <w:autoSpaceDE w:val="0"/>
        <w:widowControl/>
        <w:spacing w:line="228" w:lineRule="exact" w:before="492" w:after="118"/>
        <w:ind w:left="25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addition immediately after item (xxxi)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item:–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1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302" w:right="1256" w:hanging="7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“(xxxii) on or after January 1, 2022, medical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equipment, machinery, apparatus,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accessories and parts thereof,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hospital furniture, drugs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chemicals donated to a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hospital or the Ministry of Health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provision of health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address any pandemic or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health emergency, approved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assigned the subject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Finance on the recommendation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Secretary to the Ministry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assigned the subject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Health.”;</w:t>
            </w:r>
          </w:p>
        </w:tc>
      </w:tr>
      <w:tr>
        <w:trPr>
          <w:trHeight w:hRule="exact" w:val="11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and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following:–</w:t>
            </w:r>
          </w:p>
        </w:tc>
      </w:tr>
    </w:tbl>
    <w:p>
      <w:pPr>
        <w:autoSpaceDN w:val="0"/>
        <w:autoSpaceDE w:val="0"/>
        <w:widowControl/>
        <w:spacing w:line="268" w:lineRule="exact" w:before="116" w:after="116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 the import or supply of–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34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0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0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10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6" w:after="0"/>
              <w:ind w:left="108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motor vehicle identified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Harmonized Commodity Description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Coding Numbers for custom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and liable to–</w:t>
            </w:r>
          </w:p>
          <w:p>
            <w:pPr>
              <w:autoSpaceDN w:val="0"/>
              <w:autoSpaceDE w:val="0"/>
              <w:widowControl/>
              <w:spacing w:line="222" w:lineRule="exact" w:before="222" w:after="0"/>
              <w:ind w:left="1562" w:right="1256" w:hanging="30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the Excise Duty imposed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Excise (Special Provisions)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13 of 1989, on or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October 25, 2014; or</w:t>
            </w:r>
          </w:p>
          <w:p>
            <w:pPr>
              <w:autoSpaceDN w:val="0"/>
              <w:autoSpaceDE w:val="0"/>
              <w:widowControl/>
              <w:spacing w:line="222" w:lineRule="exact" w:before="222" w:after="0"/>
              <w:ind w:left="1562" w:right="1256" w:hanging="36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the Special Goods and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Tax imposed under the 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and Services Tax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   of 2022,</w:t>
            </w:r>
          </w:p>
          <w:p>
            <w:pPr>
              <w:autoSpaceDN w:val="0"/>
              <w:autoSpaceDE w:val="0"/>
              <w:widowControl/>
              <w:spacing w:line="226" w:lineRule="exact" w:before="218" w:after="0"/>
              <w:ind w:left="10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importation of such vehicle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motor vehicle liable to the same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duty or tax on the manufacture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vehicle;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7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084" w:after="0"/>
              <w:ind w:left="0" w:right="6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12" w:after="0"/>
              <w:ind w:left="0" w:right="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050" w:after="0"/>
              <w:ind w:left="0" w:right="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16" w:after="0"/>
              <w:ind w:left="0" w:right="6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898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1078" w:after="0"/>
              <w:ind w:left="0" w:right="6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6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9610"/>
        </w:trPr>
        <w:tc>
          <w:tcPr>
            <w:tcW w:type="dxa" w:w="3007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0" w:after="0"/>
              <w:ind w:left="117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motor vehicle remains unsold as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October 25, 2014, which would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otherwise have been liable to pay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same duty referred to in item (i) of sub-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on the importation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manufacture of the same, if imported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manufactured after October 25, 2014,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8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than any vehicle supplied under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leasing agreement entered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prior to October 25, 2014, which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disposed after the repossession of the same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lessor on which input tax had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claimed;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178" w:right="1204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cigarettes identified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Harmonized Commodity Description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Coding System Numbers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 purposes and liable to-</w:t>
            </w:r>
          </w:p>
          <w:p>
            <w:pPr>
              <w:autoSpaceDN w:val="0"/>
              <w:tabs>
                <w:tab w:pos="1538" w:val="left"/>
                <w:tab w:pos="2322" w:val="left"/>
                <w:tab w:pos="2856" w:val="left"/>
                <w:tab w:pos="3684" w:val="left"/>
              </w:tabs>
              <w:autoSpaceDE w:val="0"/>
              <w:widowControl/>
              <w:spacing w:line="228" w:lineRule="exact" w:before="228" w:after="0"/>
              <w:ind w:left="12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the Excise Duty imposed under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Excise (Special Provisions) Act,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No. 13 of 1989 and cess imposed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Export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Act, No. 40 of 1979,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or after October 25, 2014 but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prior to November 1, 2016, on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importation or manufacture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same including cigarettes in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stocks remain unsold as at October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25, 2014, which would have been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liable to the same duty on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importation or manufacture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same, if imported or manufactured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October 25, 2014; or</w:t>
            </w:r>
          </w:p>
          <w:p>
            <w:pPr>
              <w:autoSpaceDN w:val="0"/>
              <w:autoSpaceDE w:val="0"/>
              <w:widowControl/>
              <w:spacing w:line="230" w:lineRule="exact" w:before="226" w:after="0"/>
              <w:ind w:left="1538" w:right="1202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the Special Goods and Services Tax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under the Special Goods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Services Tax Act, No.   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2022, on the importation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manufacture of the same;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Value Added Tax (Amendment)</w:t>
      </w:r>
    </w:p>
    <w:p>
      <w:pPr>
        <w:autoSpaceDN w:val="0"/>
        <w:autoSpaceDE w:val="0"/>
        <w:widowControl/>
        <w:spacing w:line="240" w:lineRule="exact" w:before="530" w:after="154"/>
        <w:ind w:left="3382" w:right="25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liquor identified under the Harmonized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Commodity Description and Coding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Numbers for custom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subject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the Customs Duty imposed under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618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232"/>
        </w:trPr>
        <w:tc>
          <w:tcPr>
            <w:tcW w:type="dxa" w:w="1503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Customs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235),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Excise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under the Excise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52) and cess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under Sri Lanka Export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Act, No. 40 of 1979,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or after October 25, 2014 but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to November 1, 2016, on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importation or Excise Duty 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manufacture of the same including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liquor imported or manufactured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to October 25, 2014 remains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unsold as at October 25, 2014,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would have been liable to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same duty and cess 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importation or Excise Duty 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manufacture of the same, if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imported or manufactured after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October 25, 2014;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 the Special Goods and Services Tax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under the Special Goods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Services Tax Act, No.    of 2022,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importation or manufacture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same.”.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0" w:val="left"/>
              </w:tabs>
              <w:autoSpaceDE w:val="0"/>
              <w:widowControl/>
              <w:spacing w:line="278" w:lineRule="exact" w:before="104" w:after="0"/>
              <w:ind w:left="5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2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454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74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14" w:lineRule="exact" w:before="8990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