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29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 03, 2022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10.02.2022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2" w:after="0"/>
        <w:ind w:left="205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INTELLECTUAL PROPERTY (AMENDMENT)</w:t>
      </w:r>
    </w:p>
    <w:p>
      <w:pPr>
        <w:autoSpaceDN w:val="0"/>
        <w:autoSpaceDE w:val="0"/>
        <w:widowControl/>
        <w:spacing w:line="235" w:lineRule="auto" w:before="376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3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62" w:after="0"/>
        <w:ind w:left="0" w:right="217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Intellectual Property Act, No. 36 of 2003</w:t>
      </w:r>
    </w:p>
    <w:p>
      <w:pPr>
        <w:autoSpaceDN w:val="0"/>
        <w:autoSpaceDE w:val="0"/>
        <w:widowControl/>
        <w:spacing w:line="238" w:lineRule="auto" w:before="534" w:after="0"/>
        <w:ind w:left="0" w:right="24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Trade</w:t>
      </w:r>
    </w:p>
    <w:p>
      <w:pPr>
        <w:autoSpaceDN w:val="0"/>
        <w:autoSpaceDE w:val="0"/>
        <w:widowControl/>
        <w:spacing w:line="245" w:lineRule="auto" w:before="64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4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34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4" w:after="0"/>
        <w:ind w:left="1344" w:right="1436" w:firstLine="1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This Bill amends the Intellectual Property Act, No. 36 of 2003 to introduce 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“Geographical Indications Registration System” to provide for the registration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administration of geographical indications and matters relating thereto.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2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L.D.–O.8/2020</w:t>
      </w:r>
    </w:p>
    <w:p>
      <w:pPr>
        <w:autoSpaceDN w:val="0"/>
        <w:autoSpaceDE w:val="0"/>
        <w:widowControl/>
        <w:spacing w:line="247" w:lineRule="auto" w:before="26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NTELLECTUAL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2003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Intellectual Property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Intellectual Property Act, No.36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2003 (hereinafter referred to as the “principal enactment”)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Act,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No.36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“administration of Industrial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2003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0" w:after="20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Designs, Patents, Marks and of any other matter”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“administration of Industrial Designs, Patents, Marks,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Indications and of any other matter”.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(1), by the substitution for the words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“Industrial designs, patents, marks and any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matter” of the words “Industrial designs, patents,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marks, geographical indications and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matter”;</w:t>
      </w:r>
    </w:p>
    <w:p>
      <w:pPr>
        <w:autoSpaceDN w:val="0"/>
        <w:tabs>
          <w:tab w:pos="2162" w:val="left"/>
          <w:tab w:pos="2518" w:val="left"/>
        </w:tabs>
        <w:autoSpaceDE w:val="0"/>
        <w:widowControl/>
        <w:spacing w:line="252" w:lineRule="auto" w:before="266" w:after="20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(2), by the substitution for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“industrial designs, patents, marks and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matter” of the words “industrial designs, patents,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marks, geographical indications and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 of the phrase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“geographical indication”.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 of the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 of the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“protecting inventions,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industrial designs, marks, trade names,”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“protecting inventions, industrial designs, marks,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32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trade names, geographical indications,”;</w:t>
      </w:r>
    </w:p>
    <w:p>
      <w:pPr>
        <w:autoSpaceDN w:val="0"/>
        <w:tabs>
          <w:tab w:pos="2058" w:val="left"/>
          <w:tab w:pos="2424" w:val="left"/>
        </w:tabs>
        <w:autoSpaceDE w:val="0"/>
        <w:widowControl/>
        <w:spacing w:line="247" w:lineRule="auto" w:before="24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by the repeal of subparagraph (iv)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(4) and the substitution therefor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following:-</w:t>
      </w:r>
    </w:p>
    <w:p>
      <w:pPr>
        <w:autoSpaceDN w:val="0"/>
        <w:autoSpaceDE w:val="0"/>
        <w:widowControl/>
        <w:spacing w:line="245" w:lineRule="auto" w:before="222" w:after="182"/>
        <w:ind w:left="3102" w:right="2516" w:hanging="47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“(iv) the geographical indication of any goods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production process of products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goods or services;”.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the heading “GEOGRAPHICAL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INDICATIONS” in PART IX of the principal enactment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“Definitions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For the purposes of this Part, unless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6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context otherwise requires–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62" w:right="1152" w:hanging="37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“authorized user” means a user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registered under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Part of this Act;</w:t>
      </w:r>
    </w:p>
    <w:p>
      <w:pPr>
        <w:autoSpaceDN w:val="0"/>
        <w:tabs>
          <w:tab w:pos="2884" w:val="left"/>
          <w:tab w:pos="3262" w:val="left"/>
        </w:tabs>
        <w:autoSpaceDE w:val="0"/>
        <w:widowControl/>
        <w:spacing w:line="245" w:lineRule="auto" w:before="24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“control plan” means the method as to how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verification of compliance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 specification is carried out;</w:t>
      </w:r>
    </w:p>
    <w:p>
      <w:pPr>
        <w:autoSpaceDN w:val="0"/>
        <w:tabs>
          <w:tab w:pos="2884" w:val="left"/>
          <w:tab w:pos="3262" w:val="left"/>
        </w:tabs>
        <w:autoSpaceDE w:val="0"/>
        <w:widowControl/>
        <w:spacing w:line="245" w:lineRule="auto" w:before="23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“geographical indication” means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which identifies any goods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originating in the territory of a country,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region or locality in that territory,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given quality, reputation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characteristic of the good is essentially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attributable to its geographical origin;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2" w:lineRule="auto" w:before="0" w:after="0"/>
        <w:ind w:left="27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9" w:lineRule="auto" w:before="502" w:after="0"/>
        <w:ind w:left="3358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“goods” means any manufactured or naturally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 agricultural products, food,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wines, spirits or any item of handicraft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industry;</w:t>
      </w:r>
    </w:p>
    <w:p>
      <w:pPr>
        <w:autoSpaceDN w:val="0"/>
        <w:tabs>
          <w:tab w:pos="2978" w:val="left"/>
          <w:tab w:pos="3358" w:val="left"/>
        </w:tabs>
        <w:autoSpaceDE w:val="0"/>
        <w:widowControl/>
        <w:spacing w:line="252" w:lineRule="auto" w:before="28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“producer” in relation to goods, means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who–</w:t>
      </w:r>
    </w:p>
    <w:p>
      <w:pPr>
        <w:autoSpaceDN w:val="0"/>
        <w:tabs>
          <w:tab w:pos="3482" w:val="left"/>
          <w:tab w:pos="3838" w:val="left"/>
        </w:tabs>
        <w:autoSpaceDE w:val="0"/>
        <w:widowControl/>
        <w:spacing w:line="259" w:lineRule="auto" w:before="28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goods are agricultural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products, wine or spirit, produces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goods or processes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packages  such goods;</w:t>
      </w:r>
    </w:p>
    <w:p>
      <w:pPr>
        <w:autoSpaceDN w:val="0"/>
        <w:tabs>
          <w:tab w:pos="3838" w:val="left"/>
        </w:tabs>
        <w:autoSpaceDE w:val="0"/>
        <w:widowControl/>
        <w:spacing w:line="252" w:lineRule="auto" w:before="284" w:after="0"/>
        <w:ind w:left="3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goods are natural goods,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exploits such goods; or</w:t>
      </w:r>
    </w:p>
    <w:p>
      <w:pPr>
        <w:autoSpaceDN w:val="0"/>
        <w:tabs>
          <w:tab w:pos="3496" w:val="left"/>
          <w:tab w:pos="3838" w:val="left"/>
        </w:tabs>
        <w:autoSpaceDE w:val="0"/>
        <w:widowControl/>
        <w:spacing w:line="257" w:lineRule="auto" w:before="28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goods are handicrafts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goods, makes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manufactures such goods; and</w:t>
      </w:r>
    </w:p>
    <w:p>
      <w:pPr>
        <w:autoSpaceDN w:val="0"/>
        <w:autoSpaceDE w:val="0"/>
        <w:widowControl/>
        <w:spacing w:line="259" w:lineRule="auto" w:before="286" w:after="0"/>
        <w:ind w:left="3358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“specification” means a document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with the application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 geographical indication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provides technical details of the</w:t>
      </w:r>
    </w:p>
    <w:p>
      <w:pPr>
        <w:autoSpaceDN w:val="0"/>
        <w:tabs>
          <w:tab w:pos="3358" w:val="left"/>
        </w:tabs>
        <w:autoSpaceDE w:val="0"/>
        <w:widowControl/>
        <w:spacing w:line="262" w:lineRule="auto" w:before="26" w:after="16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characteristics of the goods or products,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method of production,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area and the link between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characteristics, quality or reputation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goods or product and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origin.”.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subsections (4A) and (5)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161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161c, 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of that 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 in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“Admissibility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Where, any geographical indication–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indications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884" w:right="0" w:hanging="28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does not comply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 of geographical indication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section 160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use of which is contrary to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morality, religion, accepted customs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4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public order;</w:t>
      </w:r>
    </w:p>
    <w:p>
      <w:pPr>
        <w:autoSpaceDN w:val="0"/>
        <w:tabs>
          <w:tab w:pos="3272" w:val="left"/>
          <w:tab w:pos="3544" w:val="left"/>
        </w:tabs>
        <w:autoSpaceDE w:val="0"/>
        <w:widowControl/>
        <w:spacing w:line="252" w:lineRule="auto" w:before="252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is not or that ceases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protected in the country of origin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geographical indication, or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fallen into disuse in such country;</w:t>
      </w:r>
    </w:p>
    <w:p>
      <w:pPr>
        <w:autoSpaceDN w:val="0"/>
        <w:autoSpaceDE w:val="0"/>
        <w:widowControl/>
        <w:spacing w:line="247" w:lineRule="auto" w:before="238" w:after="0"/>
        <w:ind w:left="3544" w:right="2516" w:hanging="28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is identical with the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customary in common language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common name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good;</w:t>
      </w:r>
    </w:p>
    <w:p>
      <w:pPr>
        <w:autoSpaceDN w:val="0"/>
        <w:tabs>
          <w:tab w:pos="3272" w:val="left"/>
          <w:tab w:pos="3544" w:val="left"/>
        </w:tabs>
        <w:autoSpaceDE w:val="0"/>
        <w:widowControl/>
        <w:spacing w:line="252" w:lineRule="auto" w:before="238" w:after="0"/>
        <w:ind w:left="13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misleads or deceives the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characteristics, nature,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quality, place of origin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process of the good or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use; or</w:t>
      </w:r>
    </w:p>
    <w:p>
      <w:pPr>
        <w:autoSpaceDN w:val="0"/>
        <w:tabs>
          <w:tab w:pos="3304" w:val="left"/>
          <w:tab w:pos="3544" w:val="left"/>
        </w:tabs>
        <w:autoSpaceDE w:val="0"/>
        <w:widowControl/>
        <w:spacing w:line="245" w:lineRule="auto" w:before="250" w:after="0"/>
        <w:ind w:left="13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which constitutes the name of a plant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variety or an animal breed,</w:t>
      </w:r>
    </w:p>
    <w:p>
      <w:pPr>
        <w:autoSpaceDN w:val="0"/>
        <w:autoSpaceDE w:val="0"/>
        <w:widowControl/>
        <w:spacing w:line="238" w:lineRule="auto" w:before="252" w:after="19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shall not be registered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Any association of persons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register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producers or any organization or authority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any law for the time being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2" w:lineRule="auto" w:before="0" w:after="0"/>
        <w:ind w:left="27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94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representing the interests of the producers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relevant good (hereinafter referred to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“applicant”) may make an application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Director-General for the registration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 as a geographical indication 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and form and accompanied by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and processing fee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receipt of an application,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shall examine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in the manner as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 .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50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geographical indication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to be registered is not admissible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in terms of section 161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shall refuse to register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and the reasons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therefore shall be informed to the applicant: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50" w:lineRule="auto" w:before="25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there is any defect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application submitted to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this section, the 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within three months from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application, notify that to the applicant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afford the applicant an opportunity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rectify any such defect within three months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such notification. The date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applicant resubmits the rectified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Director-General,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the date of receipt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for registration.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52" w:lineRule="auto" w:before="24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applicant whose application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refused under subsection (3), may if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with the reasons specified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for such refusal, make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Director-General, within three months from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42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59" w:lineRule="auto" w:before="506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the refusal was informed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applicant, his submissions in writing against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refusal.</w:t>
      </w:r>
    </w:p>
    <w:p>
      <w:pPr>
        <w:autoSpaceDN w:val="0"/>
        <w:autoSpaceDE w:val="0"/>
        <w:widowControl/>
        <w:spacing w:line="238" w:lineRule="auto" w:before="292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The Director-General may, upon receipt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such submissions, if he considers a hearing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necessary, inform the applicant of a date,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time and place for the hearing of the matter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such submissions.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66" w:lineRule="auto" w:before="29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 The Director-General may, after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hearing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 to register such application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the application as it is or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conditions, amendments or limitations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mode or place of use of such geographical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as the Director-General may consider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66" w:lineRule="auto" w:before="292" w:after="23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Director-General refuses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any application or register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subject to any conditions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subsection (6),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shall if the applicant requests so,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the reasons for such refusal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conditional acceptance for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the Director-General is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opinion that the geographical indication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sought to be registered is admissible under</w:t>
            </w:r>
          </w:p>
        </w:tc>
      </w:tr>
    </w:tbl>
    <w:p>
      <w:pPr>
        <w:autoSpaceDN w:val="0"/>
        <w:tabs>
          <w:tab w:pos="2782" w:val="left"/>
          <w:tab w:pos="2784" w:val="left"/>
        </w:tabs>
        <w:autoSpaceDE w:val="0"/>
        <w:widowControl/>
        <w:spacing w:line="266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161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he shall upon receipt of the fee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shall be prescribed for the publication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publish such application in the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a period of two months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receipt of such application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Director-General. Where the applicant fails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 such fee within such specified time period,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6.0000000000002" w:type="dxa"/>
      </w:tblPr>
      <w:tblGrid>
        <w:gridCol w:w="4510"/>
        <w:gridCol w:w="4510"/>
      </w:tblGrid>
      <w:tr>
        <w:trPr>
          <w:trHeight w:hRule="exact" w:val="3584"/>
        </w:trPr>
        <w:tc>
          <w:tcPr>
            <w:tcW w:type="dxa" w:w="4464"/>
            <w:tcBorders>
              <w:top w:sz="33.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50" w:after="0"/>
              <w:ind w:left="0" w:right="4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778"/>
            <w:tcBorders>
              <w:top w:sz="33.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56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52" w:lineRule="auto" w:before="40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shall refuse to register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indication.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59" w:lineRule="auto" w:before="28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shall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publishing the application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set out the following:-</w:t>
      </w:r>
    </w:p>
    <w:p>
      <w:pPr>
        <w:autoSpaceDN w:val="0"/>
        <w:autoSpaceDE w:val="0"/>
        <w:widowControl/>
        <w:spacing w:line="235" w:lineRule="auto" w:before="2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name and address of the applicant;</w:t>
      </w:r>
    </w:p>
    <w:p>
      <w:pPr>
        <w:autoSpaceDN w:val="0"/>
        <w:autoSpaceDE w:val="0"/>
        <w:widowControl/>
        <w:spacing w:line="238" w:lineRule="auto" w:before="284" w:after="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date of application;</w:t>
      </w:r>
    </w:p>
    <w:p>
      <w:pPr>
        <w:autoSpaceDN w:val="0"/>
        <w:tabs>
          <w:tab w:pos="3518" w:val="left"/>
        </w:tabs>
        <w:autoSpaceDE w:val="0"/>
        <w:widowControl/>
        <w:spacing w:line="245" w:lineRule="auto" w:before="258" w:after="0"/>
        <w:ind w:left="32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representation of the geographical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indication;</w:t>
      </w:r>
    </w:p>
    <w:p>
      <w:pPr>
        <w:autoSpaceDN w:val="0"/>
        <w:tabs>
          <w:tab w:pos="3202" w:val="left"/>
          <w:tab w:pos="3518" w:val="left"/>
        </w:tabs>
        <w:autoSpaceDE w:val="0"/>
        <w:widowControl/>
        <w:spacing w:line="247" w:lineRule="auto" w:before="24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goods for which the geographical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 sought to be registered;</w:t>
      </w:r>
    </w:p>
    <w:p>
      <w:pPr>
        <w:autoSpaceDN w:val="0"/>
        <w:autoSpaceDE w:val="0"/>
        <w:widowControl/>
        <w:spacing w:line="245" w:lineRule="auto" w:before="254" w:after="0"/>
        <w:ind w:left="3518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summary of the specification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map of the geographical area; and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if the applicant is resident outside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Opposition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Lanka, a postal address for service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any person considers the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published under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inadmissible in terms of section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such person may within a period of three</w:t>
            </w:r>
          </w:p>
        </w:tc>
      </w:tr>
    </w:tbl>
    <w:p>
      <w:pPr>
        <w:autoSpaceDN w:val="0"/>
        <w:autoSpaceDE w:val="0"/>
        <w:widowControl/>
        <w:spacing w:line="283" w:lineRule="auto" w:before="2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the date of such publication send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opposition to the registration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so published, by post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by hand delivery to the Director-General in</w:t>
      </w:r>
    </w:p>
    <w:p>
      <w:pPr>
        <w:autoSpaceDN w:val="0"/>
        <w:tabs>
          <w:tab w:pos="2878" w:val="left"/>
        </w:tabs>
        <w:autoSpaceDE w:val="0"/>
        <w:widowControl/>
        <w:spacing w:line="283" w:lineRule="auto" w:before="6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prescribed form together with the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fee. The person who gives the notice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opposition shall also specify the grounds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such notice of opposition is made and</w:t>
      </w:r>
    </w:p>
    <w:p>
      <w:pPr>
        <w:sectPr>
          <w:pgSz w:w="11900" w:h="16840"/>
          <w:pgMar w:top="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42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54" w:lineRule="auto" w:before="506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necessary information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evidence to substantiate such grounds.</w:t>
      </w:r>
    </w:p>
    <w:p>
      <w:pPr>
        <w:autoSpaceDN w:val="0"/>
        <w:autoSpaceDE w:val="0"/>
        <w:widowControl/>
        <w:spacing w:line="254" w:lineRule="auto" w:before="292" w:after="0"/>
        <w:ind w:left="278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any notice of opposition has not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received by the Director-General within the</w:t>
      </w:r>
    </w:p>
    <w:p>
      <w:pPr>
        <w:autoSpaceDN w:val="0"/>
        <w:tabs>
          <w:tab w:pos="2782" w:val="left"/>
          <w:tab w:pos="4604" w:val="left"/>
          <w:tab w:pos="5286" w:val="left"/>
          <w:tab w:pos="6232" w:val="left"/>
        </w:tabs>
        <w:autoSpaceDE w:val="0"/>
        <w:widowControl/>
        <w:spacing w:line="264" w:lineRule="auto" w:before="3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as specified in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sought to be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161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69" w:lineRule="auto" w:before="29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notice of opposition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by the Director-General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form together with the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and accompanied by the evidence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to substantiate the grounds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notice, within one month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notice, the 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serve a copy of such notice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 and require him to make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observations on such grounds accompanied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 information to support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within three months from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receipt of such notice.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66" w:lineRule="auto" w:before="294" w:after="23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receipt of the observation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applicant, the Director-General shall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the parties if he considers such hearing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necessary, decide as expeditious as possible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such geographical indication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or not. If the Director-General decides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it shall be registered, then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044" w:right="1152" w:hanging="3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no appeal is preferred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173 against his decision, upon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expiry of the period within which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2" w:lineRule="auto" w:before="0" w:after="0"/>
        <w:ind w:left="27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54" w:lineRule="auto" w:before="506" w:after="0"/>
        <w:ind w:left="33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may be preferred against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decision; or</w:t>
      </w:r>
    </w:p>
    <w:p>
      <w:pPr>
        <w:autoSpaceDN w:val="0"/>
        <w:autoSpaceDE w:val="0"/>
        <w:widowControl/>
        <w:spacing w:line="235" w:lineRule="auto" w:before="29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an appeal is preferred  under</w:t>
      </w:r>
    </w:p>
    <w:p>
      <w:pPr>
        <w:autoSpaceDN w:val="0"/>
        <w:autoSpaceDE w:val="0"/>
        <w:widowControl/>
        <w:spacing w:line="238" w:lineRule="auto" w:before="4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173 against his decision, upon</w:t>
      </w:r>
    </w:p>
    <w:p>
      <w:pPr>
        <w:autoSpaceDN w:val="0"/>
        <w:tabs>
          <w:tab w:pos="3398" w:val="left"/>
        </w:tabs>
        <w:autoSpaceDE w:val="0"/>
        <w:widowControl/>
        <w:spacing w:line="238" w:lineRule="auto" w:before="52" w:after="0"/>
        <w:ind w:left="14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dismissal of such appeal,</w:t>
      </w:r>
    </w:p>
    <w:p>
      <w:pPr>
        <w:autoSpaceDN w:val="0"/>
        <w:autoSpaceDE w:val="0"/>
        <w:widowControl/>
        <w:spacing w:line="247" w:lineRule="auto" w:before="266" w:after="19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register such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subject to any conditions,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or to such amendments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modifications.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Renewal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registration of any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indication, unless it is cancelled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earlier shall be valid for ten years from the date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application.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6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registration of any geographical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 may be renewed by the owner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geographical indication for consecutive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2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periods of ten years each on making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together with the prescribed fee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renewal to the Director-General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six months prior to its expiration: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54" w:lineRule="auto" w:before="25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Director-General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 to the applicant a grace period of six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after the date of such expiration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 the registration upon payment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surcharge as shall be prescribed.</w:t>
      </w:r>
    </w:p>
    <w:p>
      <w:pPr>
        <w:autoSpaceDN w:val="0"/>
        <w:autoSpaceDE w:val="0"/>
        <w:widowControl/>
        <w:spacing w:line="250" w:lineRule="auto" w:before="246" w:after="0"/>
        <w:ind w:left="2878" w:right="24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Renewal of registration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further examination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 by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or to opposition by any person.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47" w:lineRule="auto" w:before="258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Director-General shall record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of the renewal of such geographical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42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45" w:lineRule="auto" w:before="494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and cause it to be published in the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 application has not been sent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renewal along with the renewal fee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 as specified in subsection (2), the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from the register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Chapters are hereby inserted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principal enactment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Chapters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XXXIIIA,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Chapters XXXIIIA, XXXIIIB,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XXXIIIB,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XXXIIIC, XXXIIID and XXXIIIE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XXXIIIC,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6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XXXIIID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XXXIIIE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230" w:after="0"/>
        <w:ind w:left="0" w:right="3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“CHAPTER  XXXIIIA</w:t>
      </w:r>
    </w:p>
    <w:p>
      <w:pPr>
        <w:autoSpaceDN w:val="0"/>
        <w:autoSpaceDE w:val="0"/>
        <w:widowControl/>
        <w:spacing w:line="238" w:lineRule="auto" w:before="306" w:after="1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ISSUE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CERTIFICATE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REGISTARTION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REGISTER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GEOGRAPHICAL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INDICATION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If any application has duly been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by the Director-General under this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Part, he shall upon receipt of the prescribed fee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certificate, issue a certificate of</w:t>
      </w:r>
    </w:p>
    <w:p>
      <w:pPr>
        <w:autoSpaceDN w:val="0"/>
        <w:tabs>
          <w:tab w:pos="2782" w:val="left"/>
        </w:tabs>
        <w:autoSpaceDE w:val="0"/>
        <w:widowControl/>
        <w:spacing w:line="238" w:lineRule="auto" w:before="4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to the applicant who shall be the</w:t>
      </w:r>
    </w:p>
    <w:p>
      <w:pPr>
        <w:autoSpaceDN w:val="0"/>
        <w:autoSpaceDE w:val="0"/>
        <w:widowControl/>
        <w:spacing w:line="238" w:lineRule="auto" w:before="4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owner of the geographical indication</w:t>
      </w:r>
    </w:p>
    <w:p>
      <w:pPr>
        <w:autoSpaceDN w:val="0"/>
        <w:autoSpaceDE w:val="0"/>
        <w:widowControl/>
        <w:spacing w:line="235" w:lineRule="auto" w:before="4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“registered</w:t>
      </w:r>
    </w:p>
    <w:p>
      <w:pPr>
        <w:autoSpaceDN w:val="0"/>
        <w:autoSpaceDE w:val="0"/>
        <w:widowControl/>
        <w:spacing w:line="235" w:lineRule="auto" w:before="48" w:after="26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owner”) in the prescribed form.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Director-General shall keep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maintain a register in the Office called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“Register of Geographical Indications” in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which all registered geographical indications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2" w:lineRule="auto" w:before="0" w:after="0"/>
        <w:ind w:left="27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66" w:lineRule="auto" w:before="522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recorded in the order of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registration.</w:t>
      </w:r>
    </w:p>
    <w:p>
      <w:pPr>
        <w:autoSpaceDN w:val="0"/>
        <w:tabs>
          <w:tab w:pos="2876" w:val="left"/>
          <w:tab w:pos="3076" w:val="left"/>
        </w:tabs>
        <w:autoSpaceDE w:val="0"/>
        <w:widowControl/>
        <w:spacing w:line="281" w:lineRule="auto" w:before="34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following particulars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Register of Geographical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Indications:-</w:t>
      </w:r>
    </w:p>
    <w:p>
      <w:pPr>
        <w:autoSpaceDN w:val="0"/>
        <w:autoSpaceDE w:val="0"/>
        <w:widowControl/>
        <w:spacing w:line="235" w:lineRule="auto" w:before="330" w:after="0"/>
        <w:ind w:left="0" w:right="32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geographical indication;</w:t>
      </w:r>
    </w:p>
    <w:p>
      <w:pPr>
        <w:autoSpaceDN w:val="0"/>
        <w:autoSpaceDE w:val="0"/>
        <w:widowControl/>
        <w:spacing w:line="238" w:lineRule="auto" w:before="342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number of registration;</w:t>
      </w:r>
    </w:p>
    <w:p>
      <w:pPr>
        <w:autoSpaceDN w:val="0"/>
        <w:tabs>
          <w:tab w:pos="3108" w:val="left"/>
          <w:tab w:pos="3416" w:val="left"/>
        </w:tabs>
        <w:autoSpaceDE w:val="0"/>
        <w:widowControl/>
        <w:spacing w:line="281" w:lineRule="auto" w:before="34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name and address of the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and if the registered owner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Lanka, a postal address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in Sri Lanka;</w:t>
      </w:r>
    </w:p>
    <w:p>
      <w:pPr>
        <w:autoSpaceDN w:val="0"/>
        <w:autoSpaceDE w:val="0"/>
        <w:widowControl/>
        <w:spacing w:line="235" w:lineRule="auto" w:before="3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date of application and registration;</w:t>
      </w:r>
    </w:p>
    <w:p>
      <w:pPr>
        <w:autoSpaceDN w:val="0"/>
        <w:autoSpaceDE w:val="0"/>
        <w:widowControl/>
        <w:spacing w:line="266" w:lineRule="auto" w:before="342" w:after="0"/>
        <w:ind w:left="3416" w:right="2304" w:hanging="30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list of goods in respect of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registration of geographical indication</w:t>
      </w:r>
    </w:p>
    <w:p>
      <w:pPr>
        <w:autoSpaceDN w:val="0"/>
        <w:tabs>
          <w:tab w:pos="3416" w:val="left"/>
        </w:tabs>
        <w:autoSpaceDE w:val="0"/>
        <w:widowControl/>
        <w:spacing w:line="269" w:lineRule="auto" w:before="5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granted;</w:t>
      </w:r>
    </w:p>
    <w:p>
      <w:pPr>
        <w:autoSpaceDN w:val="0"/>
        <w:autoSpaceDE w:val="0"/>
        <w:widowControl/>
        <w:spacing w:line="235" w:lineRule="auto" w:before="312" w:after="0"/>
        <w:ind w:left="0" w:right="28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the summary of the specification;</w:t>
      </w:r>
    </w:p>
    <w:p>
      <w:pPr>
        <w:autoSpaceDN w:val="0"/>
        <w:autoSpaceDE w:val="0"/>
        <w:widowControl/>
        <w:spacing w:line="238" w:lineRule="auto" w:before="342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the map of the geographical area; and</w:t>
      </w:r>
    </w:p>
    <w:p>
      <w:pPr>
        <w:autoSpaceDN w:val="0"/>
        <w:tabs>
          <w:tab w:pos="3416" w:val="left"/>
        </w:tabs>
        <w:autoSpaceDE w:val="0"/>
        <w:widowControl/>
        <w:spacing w:line="269" w:lineRule="auto" w:before="338" w:after="0"/>
        <w:ind w:left="30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specifications and associated 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plan.</w:t>
      </w:r>
    </w:p>
    <w:p>
      <w:pPr>
        <w:autoSpaceDN w:val="0"/>
        <w:tabs>
          <w:tab w:pos="2876" w:val="left"/>
          <w:tab w:pos="3076" w:val="left"/>
        </w:tabs>
        <w:autoSpaceDE w:val="0"/>
        <w:widowControl/>
        <w:spacing w:line="281" w:lineRule="auto" w:before="33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may examine the register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indications and obtain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extracts thereof on payment of the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fee.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42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38" w:lineRule="auto" w:before="524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XXXIIIB</w:t>
      </w:r>
    </w:p>
    <w:p>
      <w:pPr>
        <w:autoSpaceDN w:val="0"/>
        <w:autoSpaceDE w:val="0"/>
        <w:widowControl/>
        <w:spacing w:line="238" w:lineRule="auto" w:before="340" w:after="0"/>
        <w:ind w:left="0" w:right="31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REGISTERED</w:t>
      </w:r>
      <w:r>
        <w:rPr>
          <w:rFonts w:ascii="Times" w:hAnsi="Times" w:eastAsia="Times"/>
          <w:b w:val="0"/>
          <w:i w:val="0"/>
          <w:color w:val="221F1F"/>
          <w:sz w:val="14"/>
        </w:rPr>
        <w:t>OWNER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38" w:lineRule="auto" w:before="92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REGISTER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GEOGRAPHICAL</w:t>
      </w:r>
    </w:p>
    <w:p>
      <w:pPr>
        <w:autoSpaceDN w:val="0"/>
        <w:autoSpaceDE w:val="0"/>
        <w:widowControl/>
        <w:spacing w:line="238" w:lineRule="auto" w:before="92" w:after="230"/>
        <w:ind w:left="0" w:right="39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INDICATIONS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 a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registered owner of 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shall be entitled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-</w:t>
            </w:r>
          </w:p>
        </w:tc>
      </w:tr>
    </w:tbl>
    <w:p>
      <w:pPr>
        <w:autoSpaceDN w:val="0"/>
        <w:tabs>
          <w:tab w:pos="3014" w:val="left"/>
          <w:tab w:pos="3322" w:val="left"/>
        </w:tabs>
        <w:autoSpaceDE w:val="0"/>
        <w:widowControl/>
        <w:spacing w:line="259" w:lineRule="auto" w:before="21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(a) in respect of goods of the same kind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to which the geographical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 applies –</w:t>
      </w:r>
    </w:p>
    <w:p>
      <w:pPr>
        <w:autoSpaceDN w:val="0"/>
        <w:tabs>
          <w:tab w:pos="3402" w:val="left"/>
          <w:tab w:pos="3664" w:val="left"/>
          <w:tab w:pos="5580" w:val="left"/>
        </w:tabs>
        <w:autoSpaceDE w:val="0"/>
        <w:widowControl/>
        <w:spacing w:line="259" w:lineRule="auto" w:before="262" w:after="1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any direct or indirect use , misuse,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imitation or evocation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goods including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agricultural product, food, wine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sprit or handicraft manufactured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goods not originating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indicated by the geographical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 in question or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complying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</w:p>
        </w:tc>
      </w:tr>
    </w:tbl>
    <w:p>
      <w:pPr>
        <w:autoSpaceDN w:val="0"/>
        <w:tabs>
          <w:tab w:pos="3664" w:val="left"/>
        </w:tabs>
        <w:autoSpaceDE w:val="0"/>
        <w:widowControl/>
        <w:spacing w:line="259" w:lineRule="auto" w:before="10" w:after="1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requirement for using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indication, even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true origin of the goods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indicated or the geographical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is used in translated 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accompanied by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“style”, “kind”, “type”, “make”,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“imitation”,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“method”,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“as</w:t>
            </w:r>
          </w:p>
        </w:tc>
      </w:tr>
    </w:tbl>
    <w:p>
      <w:pPr>
        <w:autoSpaceDN w:val="0"/>
        <w:tabs>
          <w:tab w:pos="3664" w:val="left"/>
        </w:tabs>
        <w:autoSpaceDE w:val="0"/>
        <w:widowControl/>
        <w:spacing w:line="252" w:lineRule="auto" w:before="1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in”, “like”, “similar”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similar expression; or</w:t>
      </w:r>
    </w:p>
    <w:p>
      <w:pPr>
        <w:autoSpaceDN w:val="0"/>
        <w:autoSpaceDE w:val="0"/>
        <w:widowControl/>
        <w:spacing w:line="250" w:lineRule="auto" w:before="274" w:after="0"/>
        <w:ind w:left="3664" w:right="2448" w:hanging="3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any direct or indirect use, misuse,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imitation or evocation of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2" w:lineRule="auto" w:before="0" w:after="0"/>
        <w:ind w:left="27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7" w:lineRule="auto" w:before="494" w:after="0"/>
        <w:ind w:left="3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constitutes an act of unfair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 within the meaning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160 of the Act; or</w:t>
      </w:r>
    </w:p>
    <w:p>
      <w:pPr>
        <w:autoSpaceDN w:val="0"/>
        <w:tabs>
          <w:tab w:pos="3376" w:val="left"/>
          <w:tab w:pos="3758" w:val="left"/>
        </w:tabs>
        <w:autoSpaceDE w:val="0"/>
        <w:widowControl/>
        <w:spacing w:line="247" w:lineRule="auto" w:before="254" w:after="0"/>
        <w:ind w:left="1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any other practice likely to mislead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as to the true origin,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provenance or nature of the goods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 agricultural product,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food, wine or sprit or handicraft</w:t>
      </w:r>
    </w:p>
    <w:p>
      <w:pPr>
        <w:autoSpaceDN w:val="0"/>
        <w:tabs>
          <w:tab w:pos="3758" w:val="left"/>
        </w:tabs>
        <w:autoSpaceDE w:val="0"/>
        <w:widowControl/>
        <w:spacing w:line="276" w:lineRule="auto" w:before="1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manufactured  and natural goods;</w:t>
      </w:r>
    </w:p>
    <w:p>
      <w:pPr>
        <w:autoSpaceDN w:val="0"/>
        <w:autoSpaceDE w:val="0"/>
        <w:widowControl/>
        <w:spacing w:line="245" w:lineRule="auto" w:before="216" w:after="0"/>
        <w:ind w:left="3338" w:right="2422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goods that are not of the same kind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to which the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applies –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any direct use, misuse, imitation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evocation of the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in respect of goods that</w:t>
            </w:r>
          </w:p>
        </w:tc>
      </w:tr>
    </w:tbl>
    <w:p>
      <w:pPr>
        <w:autoSpaceDN w:val="0"/>
        <w:tabs>
          <w:tab w:pos="3758" w:val="left"/>
        </w:tabs>
        <w:autoSpaceDE w:val="0"/>
        <w:widowControl/>
        <w:spacing w:line="250" w:lineRule="auto" w:before="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not of the same kind as those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geographical indication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 including an agricultural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product, food, wine or sprit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handicraft manufactured,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goods in question, if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would indicate or suggest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between those goods,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users of the geographical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and would be likely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 their interests, or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because of the reputation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geographical indication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would be likely to impair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dilute in an unfair manner, or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unfair advantage of that reputation;</w:t>
      </w:r>
    </w:p>
    <w:p>
      <w:pPr>
        <w:autoSpaceDN w:val="0"/>
        <w:autoSpaceDE w:val="0"/>
        <w:widowControl/>
        <w:spacing w:line="245" w:lineRule="auto" w:before="254" w:after="0"/>
        <w:ind w:left="3758" w:right="2304" w:hanging="3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any direct use, misuse, imitation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evocation of the geographical</w:t>
      </w:r>
    </w:p>
    <w:p>
      <w:pPr>
        <w:autoSpaceDN w:val="0"/>
        <w:tabs>
          <w:tab w:pos="3758" w:val="left"/>
        </w:tabs>
        <w:autoSpaceDE w:val="0"/>
        <w:widowControl/>
        <w:spacing w:line="298" w:lineRule="auto" w:before="1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 in respect of goods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42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Intellectual Property (Amendment)</w:t>
      </w:r>
    </w:p>
    <w:p>
      <w:pPr>
        <w:autoSpaceDN w:val="0"/>
        <w:tabs>
          <w:tab w:pos="1422" w:val="left"/>
          <w:tab w:pos="3664" w:val="left"/>
          <w:tab w:pos="4544" w:val="left"/>
          <w:tab w:pos="5318" w:val="left"/>
          <w:tab w:pos="5730" w:val="left"/>
        </w:tabs>
        <w:autoSpaceDE w:val="0"/>
        <w:widowControl/>
        <w:spacing w:line="250" w:lineRule="auto" w:before="494" w:after="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not of the same kind as those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geographical indication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 including an agricultural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product, food, wine or sprit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handicraft manufactured,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amounting to its imitation, even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true origin of the goods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indicated, or if the geographical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is used in translated 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is accompanied by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“style”, “kind”, “type”, “make”,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“imitation”,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“method”,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“as</w:t>
            </w:r>
          </w:p>
        </w:tc>
      </w:tr>
    </w:tbl>
    <w:p>
      <w:pPr>
        <w:autoSpaceDN w:val="0"/>
        <w:tabs>
          <w:tab w:pos="3664" w:val="left"/>
        </w:tabs>
        <w:autoSpaceDE w:val="0"/>
        <w:widowControl/>
        <w:spacing w:line="245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in”, “like”, “similar”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similar expression; or</w:t>
      </w:r>
    </w:p>
    <w:p>
      <w:pPr>
        <w:autoSpaceDN w:val="0"/>
        <w:autoSpaceDE w:val="0"/>
        <w:widowControl/>
        <w:spacing w:line="245" w:lineRule="auto" w:before="254" w:after="196"/>
        <w:ind w:left="3664" w:right="2516" w:hanging="3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any other practice likely to mislead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as to the true origin,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provenance or nature of the goods.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geographical indication registered</w:t>
            </w:r>
          </w:p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shall not become generic which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refers to the name that is generally known as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common designation of the good registered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generic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geographical indication.</w:t>
            </w:r>
          </w:p>
        </w:tc>
      </w:tr>
    </w:tbl>
    <w:p>
      <w:pPr>
        <w:autoSpaceDN w:val="0"/>
        <w:autoSpaceDE w:val="0"/>
        <w:widowControl/>
        <w:spacing w:line="238" w:lineRule="auto" w:before="192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XXXIIIC</w:t>
      </w:r>
    </w:p>
    <w:p>
      <w:pPr>
        <w:autoSpaceDN w:val="0"/>
        <w:tabs>
          <w:tab w:pos="2918" w:val="left"/>
        </w:tabs>
        <w:autoSpaceDE w:val="0"/>
        <w:widowControl/>
        <w:spacing w:line="238" w:lineRule="auto" w:before="26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CANCELLATION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GEOGRAPHICAL</w:t>
      </w:r>
    </w:p>
    <w:p>
      <w:pPr>
        <w:autoSpaceDN w:val="0"/>
        <w:autoSpaceDE w:val="0"/>
        <w:widowControl/>
        <w:spacing w:line="238" w:lineRule="auto" w:before="52" w:after="210"/>
        <w:ind w:left="0" w:right="39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INDICATIONS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Director-General may cancel the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5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of any geographical indication in</w:t>
            </w:r>
          </w:p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of –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5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goods registered as geographical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lose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characteristic as geographical indication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goods;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2" w:lineRule="auto" w:before="0" w:after="0"/>
        <w:ind w:left="27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7" w:lineRule="auto" w:before="494" w:after="194"/>
        <w:ind w:left="3356" w:right="2422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registered owner fails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conditions and requirements, if any,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which such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is registered;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requests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3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in writing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cancellation of registration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36" w:right="1152" w:hanging="32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registered owner fails to renew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of a geographical indication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as specified in section 161</w:t>
      </w:r>
      <w:r>
        <w:rPr>
          <w:rFonts w:ascii="Times" w:hAnsi="Times" w:eastAsia="Times"/>
          <w:b w:val="0"/>
          <w:i w:val="0"/>
          <w:color w:val="221F1F"/>
          <w:sz w:val="14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496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XXXIIID</w:t>
      </w:r>
    </w:p>
    <w:p>
      <w:pPr>
        <w:autoSpaceDN w:val="0"/>
        <w:autoSpaceDE w:val="0"/>
        <w:widowControl/>
        <w:spacing w:line="238" w:lineRule="auto" w:before="306" w:after="180"/>
        <w:ind w:left="0" w:right="3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FOREIGN</w:t>
      </w:r>
      <w:r>
        <w:rPr>
          <w:rFonts w:ascii="Times" w:hAnsi="Times" w:eastAsia="Times"/>
          <w:b w:val="0"/>
          <w:i w:val="0"/>
          <w:color w:val="221F1F"/>
          <w:sz w:val="14"/>
        </w:rPr>
        <w:t>GEOGRAPHICAL</w:t>
      </w:r>
      <w:r>
        <w:rPr>
          <w:rFonts w:ascii="Times" w:hAnsi="Times" w:eastAsia="Times"/>
          <w:b w:val="0"/>
          <w:i w:val="0"/>
          <w:color w:val="221F1F"/>
          <w:sz w:val="14"/>
        </w:rPr>
        <w:t>INDICATIONS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foreign geographical indication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registered in Sri Lanka as long as such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is protected in its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47" w:lineRule="auto" w:before="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of origin as a geographical indication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certification mark, as the case may be.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relating to registration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indications in this Act,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to such foreign geographical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indication.</w:t>
      </w:r>
    </w:p>
    <w:p>
      <w:pPr>
        <w:autoSpaceDN w:val="0"/>
        <w:autoSpaceDE w:val="0"/>
        <w:widowControl/>
        <w:spacing w:line="235" w:lineRule="auto" w:before="254" w:after="160"/>
        <w:ind w:left="0" w:right="3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Alterations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2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MISCELLENEOUS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registered owner of a geographical</w:t>
            </w:r>
          </w:p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may if he intends to amend the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specifications and associated control plan due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development of technologies, sciences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delimitation of the geographical area,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42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52" w:lineRule="auto" w:before="506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 request to the Director-General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effect along with the fees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 :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52" w:lineRule="auto" w:before="264" w:after="20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any substantial amendment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registered geographical indication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affects the identity of such geographical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shall not be accepted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has registered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7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Indications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Certification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" w:after="0"/>
              <w:ind w:left="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as a Certification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Mark under section 142 of this Act, may if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wishes, apply to register such Mark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 under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under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 of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(1), by the substitution for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“Industrial Designs, Marks, Patents and Unfair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44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Competition” of the words “Industrial Designs,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Marks, Patents, Geographical Indications and</w:t>
      </w:r>
    </w:p>
    <w:p>
      <w:pPr>
        <w:autoSpaceDN w:val="0"/>
        <w:tabs>
          <w:tab w:pos="2524" w:val="left"/>
        </w:tabs>
        <w:autoSpaceDE w:val="0"/>
        <w:widowControl/>
        <w:spacing w:line="262" w:lineRule="auto" w:before="2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Unfair Competition”;</w:t>
      </w:r>
    </w:p>
    <w:p>
      <w:pPr>
        <w:autoSpaceDN w:val="0"/>
        <w:autoSpaceDE w:val="0"/>
        <w:widowControl/>
        <w:spacing w:line="235" w:lineRule="auto" w:before="242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(8) -</w:t>
      </w:r>
    </w:p>
    <w:p>
      <w:pPr>
        <w:autoSpaceDN w:val="0"/>
        <w:autoSpaceDE w:val="0"/>
        <w:widowControl/>
        <w:spacing w:line="250" w:lineRule="auto" w:before="266" w:after="8"/>
        <w:ind w:left="3064" w:right="2516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“Trade Marks, Patents and Unfair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Competition” of the words “Trade Marks,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Patents, Geographical Indications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Unfair Competition”;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10"/>
        <w:ind w:left="3064" w:right="2516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“Trade Marks, Patents and Unfair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Competition” of the words “Trade Marks,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Patents, Geographical Indications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Unfair Competition”;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“Patent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 or” of the words “Patent, Mark or geographical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or 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170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 of the</w:t>
            </w:r>
          </w:p>
        </w:tc>
      </w:tr>
      <w:tr>
        <w:trPr>
          <w:trHeight w:hRule="exact" w:val="2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“Patent, Mark or any other registration” of the words “Patent,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Mark, geographical indication or any other registration”.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 of the</w:t>
            </w:r>
          </w:p>
        </w:tc>
      </w:tr>
    </w:tbl>
    <w:p>
      <w:pPr>
        <w:autoSpaceDN w:val="0"/>
        <w:tabs>
          <w:tab w:pos="6736" w:val="left"/>
        </w:tabs>
        <w:autoSpaceDE w:val="0"/>
        <w:widowControl/>
        <w:spacing w:line="266" w:lineRule="auto" w:before="6" w:after="0"/>
        <w:ind w:left="217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in subsection (1), by the substitution for the words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71" w:lineRule="auto" w:before="5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“Industrial Design, Patent or Mark or”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“Industrial Design, Patent, Mark,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or”;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86" w:lineRule="auto" w:before="29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in subsection (2), by the substitution for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registered owner of the Industrial Design,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Patent or Mark or any other register”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registered owner of the Industrial Design,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Patent or Mark, Geographical Indication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register”;</w:t>
      </w:r>
    </w:p>
    <w:p>
      <w:pPr>
        <w:autoSpaceDN w:val="0"/>
        <w:autoSpaceDE w:val="0"/>
        <w:widowControl/>
        <w:spacing w:line="276" w:lineRule="auto" w:before="318" w:after="242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in subsection (3), by the substitution for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“Industrial Design, Patent or Mark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matter” of the words “Industrial Design, Patent,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Mark, Geographical Indication or any other matter”.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186 of the principal enactment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186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0" w:after="0"/>
              <w:ind w:left="142" w:right="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provisions relating to offences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penalties in respect of Marks as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Part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mutandis apply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geographical indications.”.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212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definition of the term “Convention”,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“Patents, Marks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matter” of the words “Patents, Marks, Geographical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Indications or any other matter”.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70"/>
        </w:trPr>
        <w:tc>
          <w:tcPr>
            <w:tcW w:type="dxa" w:w="45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6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