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6" w:lineRule="exact" w:before="9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202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PREVENTION OF TERRORISM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(TEMPORARY PROVISIONS) (AMENDMENT)</w:t>
      </w:r>
    </w:p>
    <w:p>
      <w:pPr>
        <w:autoSpaceDN w:val="0"/>
        <w:autoSpaceDE w:val="0"/>
        <w:widowControl/>
        <w:spacing w:line="276" w:lineRule="exact" w:before="260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302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0" w:lineRule="exact" w:before="304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 amend the Prevention of Terrorism (Temporary Provisions) </w:t>
      </w:r>
      <w:r>
        <w:rPr>
          <w:rFonts w:ascii="Times" w:hAnsi="Times" w:eastAsia="Times"/>
          <w:b/>
          <w:i w:val="0"/>
          <w:color w:val="000000"/>
          <w:sz w:val="20"/>
        </w:rPr>
        <w:t>Act, No. 48 of 1979</w:t>
      </w:r>
    </w:p>
    <w:p>
      <w:pPr>
        <w:autoSpaceDN w:val="0"/>
        <w:autoSpaceDE w:val="0"/>
        <w:widowControl/>
        <w:spacing w:line="244" w:lineRule="exact" w:before="31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394" w:after="0"/>
        <w:ind w:left="196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Foreign Minister on 10th of February, 2022</w:t>
      </w:r>
    </w:p>
    <w:p>
      <w:pPr>
        <w:autoSpaceDN w:val="0"/>
        <w:autoSpaceDE w:val="0"/>
        <w:widowControl/>
        <w:spacing w:line="266" w:lineRule="exact" w:before="216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 27, 2022)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6" w:lineRule="exact" w:before="25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24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106]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12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13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38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9 of the Prevention of Terrorism (Temporary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Provisions) Act, No. 48 of 1979 (hereinafter referred to as the “principal enactment”)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to reduce the aggregate period of detention of a person under a detention order from </w:t>
      </w:r>
      <w:r>
        <w:rPr>
          <w:rFonts w:ascii="Times" w:hAnsi="Times" w:eastAsia="Times"/>
          <w:b w:val="0"/>
          <w:i w:val="0"/>
          <w:color w:val="000000"/>
          <w:sz w:val="16"/>
        </w:rPr>
        <w:t>eighteen months to twelve months.</w:t>
      </w:r>
    </w:p>
    <w:p>
      <w:pPr>
        <w:autoSpaceDN w:val="0"/>
        <w:autoSpaceDE w:val="0"/>
        <w:widowControl/>
        <w:spacing w:line="192" w:lineRule="exact" w:before="192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new sections 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9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enable the Magistrate to visit the place of detention to ensure that the suspect is protected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extent provided for in the Convention Against Torture and Other Cruel, Inhuman or </w:t>
      </w:r>
      <w:r>
        <w:rPr>
          <w:rFonts w:ascii="Times" w:hAnsi="Times" w:eastAsia="Times"/>
          <w:b w:val="0"/>
          <w:i w:val="0"/>
          <w:color w:val="000000"/>
          <w:sz w:val="16"/>
        </w:rPr>
        <w:t>Degrading Treatment or Punishment Act, No. 22 of 1994.</w:t>
      </w:r>
    </w:p>
    <w:p>
      <w:pPr>
        <w:autoSpaceDN w:val="0"/>
        <w:autoSpaceDE w:val="0"/>
        <w:widowControl/>
        <w:spacing w:line="192" w:lineRule="exact" w:before="192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enable a detainee to apply for a remedy guaranteed under </w:t>
      </w:r>
      <w:r>
        <w:rPr>
          <w:rFonts w:ascii="Times" w:hAnsi="Times" w:eastAsia="Times"/>
          <w:b w:val="0"/>
          <w:i w:val="0"/>
          <w:color w:val="000000"/>
          <w:sz w:val="16"/>
        </w:rPr>
        <w:t>Article 126 or 140 of the Constitution.</w:t>
      </w:r>
    </w:p>
    <w:p>
      <w:pPr>
        <w:autoSpaceDN w:val="0"/>
        <w:autoSpaceDE w:val="0"/>
        <w:widowControl/>
        <w:spacing w:line="192" w:lineRule="exact" w:before="192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new section 10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to enable 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Attorney-at-Law to have access to a person in remand or in detention, and also to enable </w:t>
      </w:r>
      <w:r>
        <w:rPr>
          <w:rFonts w:ascii="Times" w:hAnsi="Times" w:eastAsia="Times"/>
          <w:b w:val="0"/>
          <w:i w:val="0"/>
          <w:color w:val="000000"/>
          <w:sz w:val="16"/>
        </w:rPr>
        <w:t>the person so remanded or detained to communicate with his relatives.</w:t>
      </w:r>
    </w:p>
    <w:p>
      <w:pPr>
        <w:autoSpaceDN w:val="0"/>
        <w:autoSpaceDE w:val="0"/>
        <w:widowControl/>
        <w:spacing w:line="192" w:lineRule="exact" w:before="192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11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enable the suspect to be produced before a judicial medical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officer to ensure that such person has not been subjected to torture before serving an Order </w:t>
      </w:r>
      <w:r>
        <w:rPr>
          <w:rFonts w:ascii="Times" w:hAnsi="Times" w:eastAsia="Times"/>
          <w:b w:val="0"/>
          <w:i w:val="0"/>
          <w:color w:val="000000"/>
          <w:sz w:val="16"/>
        </w:rPr>
        <w:t>under section 11 of that enactment.</w:t>
      </w:r>
    </w:p>
    <w:p>
      <w:pPr>
        <w:autoSpaceDN w:val="0"/>
        <w:autoSpaceDE w:val="0"/>
        <w:widowControl/>
        <w:spacing w:line="212" w:lineRule="exact" w:before="172" w:after="0"/>
        <w:ind w:left="16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repeals section 14 of the principal enactment.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19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15 of the principal enactment in order to provide </w:t>
      </w:r>
      <w:r>
        <w:rPr>
          <w:rFonts w:ascii="Times" w:hAnsi="Times" w:eastAsia="Times"/>
          <w:b w:val="0"/>
          <w:i w:val="0"/>
          <w:color w:val="000000"/>
          <w:sz w:val="16"/>
        </w:rPr>
        <w:t>for holding trials on a day-to-day basis to ensure the expeditious disposal of cases.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19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9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amends section 15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11.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19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10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new section 15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to make </w:t>
      </w:r>
      <w:r>
        <w:rPr>
          <w:rFonts w:ascii="Times" w:hAnsi="Times" w:eastAsia="Times"/>
          <w:b w:val="0"/>
          <w:i w:val="0"/>
          <w:color w:val="000000"/>
          <w:sz w:val="16"/>
        </w:rPr>
        <w:t>provision for granting of bail to persons in remand or in detention.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19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7.</w:t>
      </w:r>
    </w:p>
    <w:p>
      <w:pPr>
        <w:autoSpaceDN w:val="0"/>
        <w:autoSpaceDE w:val="0"/>
        <w:widowControl/>
        <w:spacing w:line="192" w:lineRule="exact" w:before="192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26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make provision to question an Order made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direction given under the principal enactment despite the protection afforded to officers </w:t>
      </w:r>
      <w:r>
        <w:rPr>
          <w:rFonts w:ascii="Times" w:hAnsi="Times" w:eastAsia="Times"/>
          <w:b w:val="0"/>
          <w:i w:val="0"/>
          <w:color w:val="000000"/>
          <w:sz w:val="16"/>
        </w:rPr>
        <w:t>for any act or thing done or purported to be done in good faith.</w:t>
      </w:r>
    </w:p>
    <w:p>
      <w:pPr>
        <w:autoSpaceDN w:val="0"/>
        <w:autoSpaceDE w:val="0"/>
        <w:widowControl/>
        <w:spacing w:line="192" w:lineRule="exact" w:before="192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31 of the principal enactment in order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the definitions of “newspaper” and “printing press” and to include a new definition </w:t>
      </w:r>
      <w:r>
        <w:rPr>
          <w:rFonts w:ascii="Times" w:hAnsi="Times" w:eastAsia="Times"/>
          <w:b w:val="0"/>
          <w:i w:val="0"/>
          <w:color w:val="000000"/>
          <w:sz w:val="16"/>
        </w:rPr>
        <w:t>for the term “torture”.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0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1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1/2022</w:t>
      </w:r>
    </w:p>
    <w:p>
      <w:pPr>
        <w:autoSpaceDN w:val="0"/>
        <w:autoSpaceDE w:val="0"/>
        <w:widowControl/>
        <w:spacing w:line="254" w:lineRule="exact" w:before="252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ERRORISM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(T</w:t>
      </w:r>
      <w:r>
        <w:rPr>
          <w:rFonts w:ascii="Times" w:hAnsi="Times" w:eastAsia="Times"/>
          <w:b w:val="0"/>
          <w:i w:val="0"/>
          <w:color w:val="221F1F"/>
          <w:sz w:val="14"/>
        </w:rPr>
        <w:t>EMPORARY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56" w:lineRule="exact" w:before="252" w:after="17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1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0" w:right="1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Prevention of Terrorism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(Temporary Provisions) (Amendment) Act, No.    of 2022.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6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48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1979</w:t>
            </w:r>
          </w:p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1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Prevention of Terrorism (Temporary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Provisions) Act, No. 48 of 1979 (hereinafter referred to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“principal enactment”) is hereby amended in the proviso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subsection (1) thereof, by the substitution for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“eighteen months.” of the words “twelve months.”.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7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0" w:right="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9 of the principal enactment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8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“Certified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copy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8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certified copy of the Order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9 shall be made available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reasonable period to the Magistrate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whose judicial division the place of detention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person in respect of whom such Order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 is situated, for the Magistrate to visit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place of detention, in terms of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(2) The detention of any person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shall be communicated to the Human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Commission of Sri Lanka in terms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28 of the Human Rights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 Act, No. 21 of 1996, for the persons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by the Human Rights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 to visit the place of detention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that Act.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3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2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1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</w:tr>
      <w:tr>
        <w:trPr>
          <w:trHeight w:hRule="exact" w:val="1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Magistrate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visit place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4" w:after="0"/>
              <w:ind w:left="84" w:right="1256" w:firstLine="2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It shall be the duty of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who has received a certified copy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detention Order in terms of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to visit the place of detention of</w:t>
            </w:r>
          </w:p>
        </w:tc>
      </w:tr>
      <w:tr>
        <w:trPr>
          <w:trHeight w:hRule="exact" w:val="304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11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person to whom the Order relates (in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referred to as the “suspect”) at least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once in every month during the period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detention, to ensure that the suspect is protected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extent provided for in the Convention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Torture and other Cruel, Inhumane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degrading Treatment or Punishment Act, No.22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1994.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116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For the purpose of subsection (1),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who visits any place of detention,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shall–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166"/>
        <w:ind w:left="3382" w:right="2516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personally see the suspect, and look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his wellbeing, welfare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under which he is kept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place of detention;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99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86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record his observations and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complaint the suspect may make.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Where the Magistrate is of the opinion,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 suspect may have been subjected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torture, the Magistrate may direct that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suspect be produced before a Judicial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for medical examination, and a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submitted by such Judicial Medical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Magistrate.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the report of such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Medical Officer reveals that the suspect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subjected to torture, the Magistrate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appropriate order, to provide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treatment to the suspect.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0" w:after="0"/>
              <w:ind w:left="115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Magistrate may also direct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Inspector General of Police to commence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into the alleged torture in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enable the Attorney-General to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criminal proceedings against the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alleged to have committed the torture.”.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9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“Order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final</w:t>
            </w:r>
          </w:p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10. An Order made under section 9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final and shall not be called in question in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 xml:space="preserve"> any 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 xml:space="preserve">proceedings or in any court of law, save and 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 xml:space="preserve">except in proceedings under Article 126 or 140 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>of the Constitution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11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6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10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of that enactment:-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Attorney- at-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access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remand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76" w:right="4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An Attorney- at- Law representing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remanded or detained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have the right of access to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to make representations on behalf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subject to such conditions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by regulations made under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 provided for in other written law.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1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15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 person remanded or detained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shall have the right to communicate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his relatives, as provided for in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9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28" w:lineRule="exact" w:before="148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by the insertion immediately after subsection (1)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subsections:-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158" w:after="0"/>
        <w:ind w:left="2516" w:right="2304" w:firstLine="2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 to whom an Order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relates, shall be produced before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</w:tr>
    </w:tbl>
    <w:p>
      <w:pPr>
        <w:autoSpaceDN w:val="0"/>
        <w:autoSpaceDE w:val="0"/>
        <w:widowControl/>
        <w:spacing w:line="240" w:lineRule="exact" w:before="182" w:after="150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Medical Officer for medical examination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serving such Order to such person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be submitted by the Judicial Medical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15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44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622" w:right="1256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Order made under subsection (1)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on the person to whom the Order relates,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 in whose judicial division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resides and the report of the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Officer referred to in subsection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produced before the Magistrate to ensure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has not been subjected to torture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serving such Order on such person.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report issued by the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Officer under subsection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reveals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has been subjected to torture,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shall make an appropriate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necessary medical treatment to such person.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may also direct the Inspector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Police to commence an investigation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the alleged torture in order to enable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Attorney-General to institute criminal 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the person who is alleged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the torture.”.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2" w:right="1256" w:hanging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the proviso to subsection (3) thereof,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“eighteen months.”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“twelve months.”;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2422" w:right="2448" w:hanging="35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repeal of subsection (5)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2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44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“(5) An Order made by the Minister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 shall be final and shall not be called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question in any proceedings or in any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save and except in proceedings under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126 or 140 of the Constitution.”.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1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78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14 of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78" w:lineRule="exact" w:before="36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 by the addition immediately after subsection (2)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1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“(3) Every trial under this Act shall be held on a day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basis, unless in the opinion of the court exceptional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 warrant postponement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or continuation of trial, for reasons which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recorded by court.”.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78" w:lineRule="exact" w:before="22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“section 19(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)”, of the word and figure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“section 19”.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0" w:val="left"/>
              </w:tabs>
              <w:autoSpaceDE w:val="0"/>
              <w:widowControl/>
              <w:spacing w:line="280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“Grant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bail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remand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90" w:after="0"/>
              <w:ind w:left="98" w:right="42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Notwithstanding anything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contrary in the provisions of this Act,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trial against a person remanded or detained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has not commenced after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expiration of twelve months, from the date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arrest, the Court of Appeal may release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on bail, upon an application in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behalf, made by the suspect or an Attorney- at-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on his behalf: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the preceding provisions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section shall not preclude the High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from making an order to remand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under subsection (2) of section 15, until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conclusion of the trial: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3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4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0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0" w:after="0"/>
              <w:ind w:left="1164" w:right="58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further, where the trial against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accused in respect of whom the indictment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forwarded and filed in the High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not commenced after the expiration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twelve months from the date of such filing,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 Court may consider to release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bail, upon an application in that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the accused or an Attorney- at-Law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his behalf.”.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10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67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grant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bail 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accused of</w:t>
            </w:r>
          </w:p>
        </w:tc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264" w:right="56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19. Notwithstanding the provisions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every person convicted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court of any offence under this Act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that he has lodged a petition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appeal against his conviction or the sentence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on him, be kept on remand until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 of the appeal: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0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38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120" w:right="56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that the Court of Appeal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in exceptional circumstances release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bail any such person subject to such conditions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Court of Appeal may deem fit 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9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26</w:t>
            </w:r>
          </w:p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  <w:tc>
          <w:tcPr>
            <w:tcW w:type="dxa" w:w="4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4" w:after="0"/>
              <w:ind w:left="264" w:right="56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26. (1) An Order made or direction given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may be questioned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under Article 126 or Article 140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Constitution.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900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1164" w:right="56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Subject to the provisions of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(1), no suit, prosecution or other proceeding,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civil or criminal, shall lie against any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for any act or thing in good faith done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purported to be done in pursuance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supposed pursuance of any Order made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 given under this Act.”.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70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78" w:lineRule="exact" w:before="108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31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“newspaper”;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by the repeal of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“printing press”;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40" w:lineRule="exact" w:before="180" w:after="154"/>
        <w:ind w:left="21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by the insertion immediately after the definition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“specified person” of the following definition:-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““torture” shall have the same meaning assigned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expression under the Convention Against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Torture and other Cruel, Inhumane or degrading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Treatment or Punishment Act, No.22 of 1994;”.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4" w:val="left"/>
              </w:tabs>
              <w:autoSpaceDE w:val="0"/>
              <w:widowControl/>
              <w:spacing w:line="278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</w:t>
            </w:r>
          </w:p>
        </w:tc>
      </w:tr>
    </w:tbl>
    <w:p>
      <w:pPr>
        <w:autoSpaceDN w:val="0"/>
        <w:autoSpaceDE w:val="0"/>
        <w:widowControl/>
        <w:spacing w:line="212" w:lineRule="exact" w:before="89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