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362" w:after="0"/>
        <w:ind w:left="0" w:right="301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February 11, 2022</w:t>
      </w:r>
    </w:p>
    <w:p>
      <w:pPr>
        <w:autoSpaceDN w:val="0"/>
        <w:autoSpaceDE w:val="0"/>
        <w:widowControl/>
        <w:spacing w:line="230" w:lineRule="auto" w:before="310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54" w:lineRule="auto" w:before="296" w:after="0"/>
        <w:ind w:left="0" w:right="33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11.02.2022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8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96" w:after="0"/>
        <w:ind w:left="2304" w:right="230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 xml:space="preserve">CODE OF CRIMINAL PROCEDURE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230" w:lineRule="auto" w:before="260" w:after="0"/>
        <w:ind w:left="0" w:right="43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0" w:lineRule="auto" w:before="310" w:after="0"/>
        <w:ind w:left="0" w:right="41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3" w:lineRule="auto" w:before="252" w:after="0"/>
        <w:ind w:left="195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54" w:lineRule="auto" w:before="244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45" w:lineRule="auto" w:before="620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410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44" w:right="1436" w:firstLine="25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442 of the Code of Criminal Procedure Act, No. 15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1979 (hereinafter referred to as the “principal enactment”) and the legal effect of the amendment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to make provision to issue one certified copy of the judgment or final order of the record to </w:t>
      </w:r>
      <w:r>
        <w:rPr>
          <w:rFonts w:ascii="Times" w:hAnsi="Times" w:eastAsia="Times"/>
          <w:b w:val="0"/>
          <w:i w:val="0"/>
          <w:color w:val="000000"/>
          <w:sz w:val="16"/>
        </w:rPr>
        <w:t>each of the parties to the case free of charge.</w:t>
      </w:r>
    </w:p>
    <w:p>
      <w:pPr>
        <w:autoSpaceDN w:val="0"/>
        <w:tabs>
          <w:tab w:pos="1602" w:val="left"/>
        </w:tabs>
        <w:autoSpaceDE w:val="0"/>
        <w:widowControl/>
        <w:spacing w:line="245" w:lineRule="auto" w:before="210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443 of the principal enactment and is consequential to </w:t>
      </w:r>
      <w:r>
        <w:rPr>
          <w:rFonts w:ascii="Times" w:hAnsi="Times" w:eastAsia="Times"/>
          <w:b w:val="0"/>
          <w:i w:val="0"/>
          <w:color w:val="000000"/>
          <w:sz w:val="16"/>
        </w:rPr>
        <w:t>the amendment made by clause 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D.–O. 45/2017</w:t>
      </w:r>
    </w:p>
    <w:p>
      <w:pPr>
        <w:autoSpaceDN w:val="0"/>
        <w:autoSpaceDE w:val="0"/>
        <w:widowControl/>
        <w:spacing w:line="262" w:lineRule="auto" w:before="326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62" w:lineRule="auto" w:before="326" w:after="0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26" w:after="0"/>
        <w:ind w:left="20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Code of 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50" w:after="26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442 of the Code of Criminal Procedure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1979 (hereinafter referred to as the “principal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442 of Act,</w:t>
            </w:r>
          </w:p>
        </w:tc>
      </w:tr>
      <w:tr>
        <w:trPr>
          <w:trHeight w:hRule="exact" w:val="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repealed and the following section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</w:t>
            </w:r>
          </w:p>
        </w:tc>
      </w:tr>
      <w:tr>
        <w:trPr>
          <w:trHeight w:hRule="exact" w:val="15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substituted therefor: 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1979</w:t>
            </w:r>
          </w:p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12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6" w:after="0"/>
              <w:ind w:left="78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“Copies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final order or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72" w:after="0"/>
              <w:ind w:left="196" w:right="0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442. If any person affected by a judgment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final order of a criminal court desires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1804"/>
            <w:vMerge/>
            <w:tcBorders/>
          </w:tcPr>
          <w:p/>
        </w:tc>
        <w:tc>
          <w:tcPr>
            <w:tcW w:type="dxa" w:w="11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deposi-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tion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of record</w:t>
            </w:r>
          </w:p>
        </w:tc>
        <w:tc>
          <w:tcPr>
            <w:tcW w:type="dxa" w:w="3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a copy of the judgment or the final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deposition or other part of the record,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shall on applying for such copy, be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936" w:val="left"/>
        </w:tabs>
        <w:autoSpaceDE w:val="0"/>
        <w:widowControl/>
        <w:spacing w:line="281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furnished therewith by the court,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therefor, of a fee determined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to time by the Secretary to the Ministry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Justice, by Notification published in the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court for some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 thinks fit to furnish it free of cost:</w:t>
      </w:r>
    </w:p>
    <w:p>
      <w:pPr>
        <w:autoSpaceDN w:val="0"/>
        <w:tabs>
          <w:tab w:pos="2936" w:val="left"/>
          <w:tab w:pos="2938" w:val="left"/>
          <w:tab w:pos="3136" w:val="left"/>
        </w:tabs>
        <w:autoSpaceDE w:val="0"/>
        <w:widowControl/>
        <w:spacing w:line="278" w:lineRule="auto" w:before="3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complainant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every accused 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respective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furnished with one certified copy each,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judgment or final order of the record,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free of cost.”.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443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by the substitution for the words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443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“on payments made at the rates mentioned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442” of the words and figures “subject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442”.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456"/>
        </w:trPr>
        <w:tc>
          <w:tcPr>
            <w:tcW w:type="dxa" w:w="47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4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