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0" w:lineRule="auto" w:before="362" w:after="0"/>
        <w:ind w:left="0" w:right="3148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25, 2022</w:t>
      </w:r>
    </w:p>
    <w:p>
      <w:pPr>
        <w:autoSpaceDN w:val="0"/>
        <w:autoSpaceDE w:val="0"/>
        <w:widowControl/>
        <w:spacing w:line="230" w:lineRule="auto" w:before="310" w:after="0"/>
        <w:ind w:left="0" w:right="36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54" w:lineRule="auto" w:before="296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25.03.2022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188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292" w:after="0"/>
        <w:ind w:left="160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6"/>
        </w:rPr>
        <w:t>INDUSTRIAL DISPUTES (SPECIAL PROVISIONS)</w:t>
      </w:r>
    </w:p>
    <w:p>
      <w:pPr>
        <w:autoSpaceDN w:val="0"/>
        <w:autoSpaceDE w:val="0"/>
        <w:widowControl/>
        <w:spacing w:line="230" w:lineRule="auto" w:before="328" w:after="0"/>
        <w:ind w:left="0" w:right="43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0" w:lineRule="auto" w:before="310" w:after="0"/>
        <w:ind w:left="0" w:right="416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66" w:lineRule="auto" w:before="250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make special  provisions to deem the Presidents of the labour tribunals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as Additional Magistrates to hear, try, determine and dispose of all suits </w:t>
      </w:r>
      <w:r>
        <w:rPr>
          <w:rFonts w:ascii="Times" w:hAnsi="Times" w:eastAsia="Times"/>
          <w:b/>
          <w:i w:val="0"/>
          <w:color w:val="221F1F"/>
          <w:sz w:val="20"/>
        </w:rPr>
        <w:t>or  prosecutions  under  the  provisions  of  specified  enactments  and  for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 matters connected therewith or incidental thereto</w:t>
      </w:r>
    </w:p>
    <w:p>
      <w:pPr>
        <w:autoSpaceDN w:val="0"/>
        <w:autoSpaceDE w:val="0"/>
        <w:widowControl/>
        <w:spacing w:line="254" w:lineRule="auto" w:before="24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Labour</w:t>
      </w:r>
    </w:p>
    <w:p>
      <w:pPr>
        <w:autoSpaceDN w:val="0"/>
        <w:autoSpaceDE w:val="0"/>
        <w:widowControl/>
        <w:spacing w:line="245" w:lineRule="auto" w:before="202" w:after="0"/>
        <w:ind w:left="2304" w:right="216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152" w:after="0"/>
        <w:ind w:left="1442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152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tabs>
          <w:tab w:pos="2594" w:val="left"/>
        </w:tabs>
        <w:autoSpaceDE w:val="0"/>
        <w:widowControl/>
        <w:spacing w:line="415" w:lineRule="auto" w:before="0" w:after="0"/>
        <w:ind w:left="1798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(Special Provisions) </w:t>
      </w:r>
      <w:r>
        <w:rPr>
          <w:rFonts w:ascii="Times" w:hAnsi="Times" w:eastAsia="Times"/>
          <w:b w:val="0"/>
          <w:i w:val="0"/>
          <w:color w:val="000000"/>
          <w:sz w:val="20"/>
        </w:rPr>
        <w:t>L.D.-O. 22/2020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auto" w:before="432" w:after="464"/>
        <w:ind w:left="5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4" w:lineRule="auto" w:before="0" w:after="0"/>
        <w:ind w:left="2098" w:right="2422" w:hanging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MAKE</w:t>
      </w:r>
      <w:r>
        <w:rPr>
          <w:rFonts w:ascii="Times" w:hAnsi="Times" w:eastAsia="Times"/>
          <w:b w:val="0"/>
          <w:i w:val="0"/>
          <w:color w:val="000000"/>
          <w:sz w:val="14"/>
        </w:rPr>
        <w:t>SPECIAL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DEEM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RESIDENTS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ABOUR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RIBUNALS</w:t>
      </w:r>
      <w:r>
        <w:rPr>
          <w:rFonts w:ascii="Times" w:hAnsi="Times" w:eastAsia="Times"/>
          <w:b w:val="0"/>
          <w:i w:val="0"/>
          <w:color w:val="000000"/>
          <w:sz w:val="14"/>
        </w:rPr>
        <w:t>AS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DDITIONAL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AGISTRATES 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HEAR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TRY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DETERMINE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DISPOSE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ALL</w:t>
      </w:r>
      <w:r>
        <w:rPr>
          <w:rFonts w:ascii="Times" w:hAnsi="Times" w:eastAsia="Times"/>
          <w:b w:val="0"/>
          <w:i w:val="0"/>
          <w:color w:val="000000"/>
          <w:sz w:val="14"/>
        </w:rPr>
        <w:t>SUITS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</w:p>
    <w:p>
      <w:pPr>
        <w:autoSpaceDN w:val="0"/>
        <w:autoSpaceDE w:val="0"/>
        <w:widowControl/>
        <w:spacing w:line="235" w:lineRule="auto" w:before="94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PROSECUTIONS</w:t>
      </w:r>
      <w:r>
        <w:rPr>
          <w:rFonts w:ascii="Times" w:hAnsi="Times" w:eastAsia="Times"/>
          <w:b w:val="0"/>
          <w:i w:val="0"/>
          <w:color w:val="000000"/>
          <w:sz w:val="14"/>
        </w:rPr>
        <w:t>UNDER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PROVISIONS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SPECIFIED</w:t>
      </w:r>
    </w:p>
    <w:p>
      <w:pPr>
        <w:autoSpaceDN w:val="0"/>
        <w:autoSpaceDE w:val="0"/>
        <w:widowControl/>
        <w:spacing w:line="271" w:lineRule="auto" w:before="108" w:after="0"/>
        <w:ind w:left="20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ENACTMENTS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38" w:after="1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92" w:after="0"/>
              <w:ind w:left="0" w:right="9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This Act may be cited as the Industrial Disputes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(Special Provisions) Act, No.       of 2022 and shall 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date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such date as the Minister may, in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20" w:after="17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Minister assigned the subject of Justice, </w:t>
      </w:r>
      <w:r>
        <w:rPr>
          <w:rFonts w:ascii="Times" w:hAnsi="Times" w:eastAsia="Times"/>
          <w:b w:val="0"/>
          <w:i w:val="0"/>
          <w:color w:val="000000"/>
          <w:sz w:val="20"/>
        </w:rPr>
        <w:t>appoint by Order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12" w:after="0"/>
              <w:ind w:left="0" w:right="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President of the labour tribunal established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President of the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</w:t>
            </w:r>
          </w:p>
        </w:tc>
      </w:tr>
      <w:tr>
        <w:trPr>
          <w:trHeight w:hRule="exact" w:val="1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section 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Industrial Disputes Act (Chapter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be deemed as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131) shall in addition to the powers and duties of a President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Additional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labour tribunal, be deemed to be an Additional Magistrate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enforcement of any award made by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arbitrator or industrial court or any order made by the labour </w:t>
      </w:r>
      <w:r>
        <w:rPr>
          <w:rFonts w:ascii="Times" w:hAnsi="Times" w:eastAsia="Times"/>
          <w:b w:val="0"/>
          <w:i w:val="0"/>
          <w:color w:val="000000"/>
          <w:sz w:val="20"/>
        </w:rPr>
        <w:t>tribunal under the provisions of the Industrial Disputes Act</w:t>
      </w:r>
    </w:p>
    <w:p>
      <w:pPr>
        <w:autoSpaceDN w:val="0"/>
        <w:tabs>
          <w:tab w:pos="1798" w:val="left"/>
        </w:tabs>
        <w:autoSpaceDE w:val="0"/>
        <w:widowControl/>
        <w:spacing w:line="271" w:lineRule="auto" w:before="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131) or any decision of the Commissioner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recovery of payment upon a certificate issued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 or implementation of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enactments specified in the Schedule I hereto (in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as the “specified enactments”).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71" w:lineRule="auto" w:before="238" w:after="0"/>
        <w:ind w:left="1456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Act, the jurisdiction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of a labour tribunal shall, subject to the provisions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subsection (3), be limited to a judicial division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Magistrate’s Court as may be demarcated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of section 5 of the Judicature Act, No. 2 of 1978 where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labour tribunal is situated.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392" w:val="left"/>
        </w:tabs>
        <w:autoSpaceDE w:val="0"/>
        <w:widowControl/>
        <w:spacing w:line="254" w:lineRule="auto" w:before="0" w:after="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Industrial Disputes (Special Provisions)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2" w:lineRule="auto" w:before="312" w:after="0"/>
        <w:ind w:left="1352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jurisdiction of a President of a labour tribunal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Column I of the Schedule II hereto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limited to the judicial division of the Magistrate’s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the corresponding entry in Column II of that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Schedule.</w:t>
      </w:r>
    </w:p>
    <w:p>
      <w:pPr>
        <w:autoSpaceDN w:val="0"/>
        <w:autoSpaceDE w:val="0"/>
        <w:widowControl/>
        <w:spacing w:line="259" w:lineRule="auto" w:before="230" w:after="14"/>
        <w:ind w:left="1596" w:right="26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For the avoidance of doubt, it is hereby declared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Magistrate’s Court shall continue to exercise such powers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the specified enactments in any judicial </w:t>
      </w:r>
      <w:r>
        <w:rPr>
          <w:rFonts w:ascii="Times" w:hAnsi="Times" w:eastAsia="Times"/>
          <w:b w:val="0"/>
          <w:i w:val="0"/>
          <w:color w:val="000000"/>
          <w:sz w:val="20"/>
        </w:rPr>
        <w:t>division of the Magistrate’s Court including judicial division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in Column II of Schedule II.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Applicability of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President of labour tribunal acts as an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Additional Magistrate, such President shall have the power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provisions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Code of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authority to hear, try, determine and dispose of cases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Criminal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summary way by virtue of the provisions of the Code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Procedure Act,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Criminal Procedure Act, No. 15 of 1979 in relation to the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 1979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Evidence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enforcement of any award made by any arbitrator or industrial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or any order made by the labour tribunal under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(Chapter14)</w:t>
            </w:r>
          </w:p>
        </w:tc>
      </w:tr>
    </w:tbl>
    <w:p>
      <w:pPr>
        <w:autoSpaceDN w:val="0"/>
        <w:tabs>
          <w:tab w:pos="1596" w:val="left"/>
        </w:tabs>
        <w:autoSpaceDE w:val="0"/>
        <w:widowControl/>
        <w:spacing w:line="259" w:lineRule="auto" w:before="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the Industrial Disputes Act (Chapter 131)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decision of the Commissioner or recovery of payment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 certificate issued by Commissioner or implementation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the specified enactments.</w:t>
      </w:r>
    </w:p>
    <w:p>
      <w:pPr>
        <w:autoSpaceDN w:val="0"/>
        <w:tabs>
          <w:tab w:pos="1596" w:val="left"/>
          <w:tab w:pos="1836" w:val="left"/>
        </w:tabs>
        <w:autoSpaceDE w:val="0"/>
        <w:widowControl/>
        <w:spacing w:line="262" w:lineRule="auto" w:before="228" w:after="0"/>
        <w:ind w:left="1254" w:right="2592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the Code of Criminal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15 of 1979 and Evidence Ordinance (Chapter 14)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" w:hAnsi="Times" w:eastAsia="Times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and in relation to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to hear, try, determine and dispose of the suits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prosecutions before the labour tribunal:</w:t>
      </w:r>
    </w:p>
    <w:p>
      <w:pPr>
        <w:autoSpaceDN w:val="0"/>
        <w:autoSpaceDE w:val="0"/>
        <w:widowControl/>
        <w:spacing w:line="257" w:lineRule="auto" w:before="230" w:after="16"/>
        <w:ind w:left="1596" w:right="262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that, the provisions of Evidence Ordinance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(Chapter 14) shall not apply for the conduct of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under section 31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Industrial Disputes Act (Chapter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131) by the labour tribunal.</w:t>
            </w:r>
          </w:p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54" w:lineRule="auto" w:before="0" w:after="0"/>
        <w:ind w:left="25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8" w:lineRule="auto" w:before="306" w:after="0"/>
        <w:ind w:left="0" w:right="44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</w:t>
      </w:r>
    </w:p>
    <w:p>
      <w:pPr>
        <w:autoSpaceDN w:val="0"/>
        <w:autoSpaceDE w:val="0"/>
        <w:widowControl/>
        <w:spacing w:line="238" w:lineRule="auto" w:before="212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2(1)]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2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Allowances to Plantation Workers Act, No. 72 of 1981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(No. 2) Law, No. 18 of</w:t>
      </w:r>
    </w:p>
    <w:p>
      <w:pPr>
        <w:autoSpaceDN w:val="0"/>
        <w:autoSpaceDE w:val="0"/>
        <w:widowControl/>
        <w:spacing w:line="238" w:lineRule="auto" w:before="16" w:after="0"/>
        <w:ind w:left="0" w:right="6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1978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Act, No. 36 of 2005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Act, No. 4 of 2016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Budgetary Relief Allowance of Workers Law (No. 1) Law,</w:t>
      </w:r>
    </w:p>
    <w:p>
      <w:pPr>
        <w:autoSpaceDN w:val="0"/>
        <w:autoSpaceDE w:val="0"/>
        <w:widowControl/>
        <w:spacing w:line="235" w:lineRule="auto" w:before="16" w:after="0"/>
        <w:ind w:left="0" w:right="56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No. 1 of 1978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Chauffeurs Regulation Ordinance (Chapter 73)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Control of Labour (Change of Designation) Ordinance, No. 22</w:t>
      </w:r>
    </w:p>
    <w:p>
      <w:pPr>
        <w:autoSpaceDN w:val="0"/>
        <w:autoSpaceDE w:val="0"/>
        <w:widowControl/>
        <w:spacing w:line="235" w:lineRule="auto" w:before="14" w:after="0"/>
        <w:ind w:left="0" w:right="60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1945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Diseases (Labourer’s) Ordinance (Chapter 225)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15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Councils Act, No 32 of !979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Holiday Act, No. 6 of 1959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Provident Fund Act, No. 15 of 1958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Provident Fund (Special Provisions) Act, No. 6 of</w:t>
      </w:r>
    </w:p>
    <w:p>
      <w:pPr>
        <w:autoSpaceDN w:val="0"/>
        <w:autoSpaceDE w:val="0"/>
        <w:widowControl/>
        <w:spacing w:line="238" w:lineRule="auto" w:before="16" w:after="0"/>
        <w:ind w:left="0" w:right="6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1975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Trust Fund (Special Provisions) Act, No. 19 of 1993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Employees’ Trust Fund Act, No. 46 of 1980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Employment of Trainees (Private Sector) Act, No. 8 of 1978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4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Employment of Women, Young Persons and Children Act,</w:t>
      </w:r>
    </w:p>
    <w:p>
      <w:pPr>
        <w:autoSpaceDN w:val="0"/>
        <w:autoSpaceDE w:val="0"/>
        <w:widowControl/>
        <w:spacing w:line="235" w:lineRule="auto" w:before="16" w:after="0"/>
        <w:ind w:left="0" w:right="55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No. 47 of 1956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Estate Labour (Indian) Ordinance (Chapter 133)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Estate Quarters (Special Provisions) Act, No. 2 of 1971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19.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Factories Ordinance (Chapter 128)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Fuel Conservation Five Day Week Act, No. 11of 1978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(Special Provisions)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Holiday Act, No. 29 of 1971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Indian Immigrant Labour Ordinance (Chapter 132)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Industrial Disputes Act (Chapter 131)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Inspector of Labour (Change of Designation) Act, No. 7 of 1958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 Devaluation Allowance of Employees Act, No. 40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6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1968</w:t>
      </w:r>
    </w:p>
    <w:p>
      <w:pPr>
        <w:autoSpaceDN w:val="0"/>
        <w:tabs>
          <w:tab w:pos="2254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Labour Inspections (Maintenance of Secrecy) Act, No. 13 of</w:t>
      </w:r>
    </w:p>
    <w:p>
      <w:pPr>
        <w:autoSpaceDN w:val="0"/>
        <w:autoSpaceDE w:val="0"/>
        <w:widowControl/>
        <w:spacing w:line="238" w:lineRule="auto" w:before="4" w:after="0"/>
        <w:ind w:left="0" w:right="64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1972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Maternity Benefits Ordinance (Chapter 140)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Medical Wants Ordinance (Chapter 223)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29.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(Prohibition of Female Labour Underground) Ordinance</w:t>
      </w:r>
    </w:p>
    <w:p>
      <w:pPr>
        <w:autoSpaceDN w:val="0"/>
        <w:autoSpaceDE w:val="0"/>
        <w:widowControl/>
        <w:spacing w:line="235" w:lineRule="auto" w:before="4" w:after="0"/>
        <w:ind w:left="0" w:right="5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(Chapter 130)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and Minerals Law, No. 4 of 1973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Mines Quarries and Minerals Ordinance (Chapter 210)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Minimum Retirement Age of Workers Act, No. 28 of 2021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Minimum Wages (Indian Labour) Ordinance (Chapter 135)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 Apprenticeship Act, No. 49 of 1971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National Minimum Wages of Workers Act, No. 3 of 2016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Payment of Gratuities &amp; Other Monetary Benefits to Indian</w:t>
      </w:r>
    </w:p>
    <w:p>
      <w:pPr>
        <w:autoSpaceDN w:val="0"/>
        <w:autoSpaceDE w:val="0"/>
        <w:widowControl/>
        <w:spacing w:line="235" w:lineRule="auto" w:before="2" w:after="0"/>
        <w:ind w:left="0" w:right="3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Repatriates (Special Provisions) Act, No. 34 of 1978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Payment of Gratuity Act, No. 12 of 1983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Privilege Leave (Private) Law, No. 14 of 1976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39.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Registration of Domestic Servants Ordinance (Chapter 137)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Service Contracts Ordinance (Chapter 72)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4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Shop &amp; Office Employees (Regulation of Employment &amp;</w:t>
      </w:r>
    </w:p>
    <w:p>
      <w:pPr>
        <w:autoSpaceDN w:val="0"/>
        <w:autoSpaceDE w:val="0"/>
        <w:widowControl/>
        <w:spacing w:line="238" w:lineRule="auto" w:before="4" w:after="0"/>
        <w:ind w:left="0" w:right="45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Remuneration) Act (Chapter 129)</w:t>
      </w:r>
    </w:p>
    <w:p>
      <w:pPr>
        <w:autoSpaceDN w:val="0"/>
        <w:tabs>
          <w:tab w:pos="2256" w:val="left"/>
        </w:tabs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Special Allowances of Workers Law, No. 17 of 1978</w:t>
      </w:r>
    </w:p>
    <w:p>
      <w:pPr>
        <w:autoSpaceDN w:val="0"/>
        <w:tabs>
          <w:tab w:pos="2256" w:val="left"/>
        </w:tabs>
        <w:autoSpaceDE w:val="0"/>
        <w:widowControl/>
        <w:spacing w:line="235" w:lineRule="auto" w:before="208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Supplementary Allowances of Workers Act, No. 65 of 1979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54" w:lineRule="auto" w:before="0" w:after="0"/>
        <w:ind w:left="25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306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Termination of Employment of Workmen (Special Provisions)</w:t>
      </w:r>
    </w:p>
    <w:p>
      <w:pPr>
        <w:autoSpaceDN w:val="0"/>
        <w:autoSpaceDE w:val="0"/>
        <w:widowControl/>
        <w:spacing w:line="238" w:lineRule="auto" w:before="10" w:after="0"/>
        <w:ind w:left="0" w:right="52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Act, No. 45 of 1971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2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Trade Union Ordinance (Chapter 138)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0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Trade Union Representatives (Entry into Estates) Act, No. 25 of</w:t>
      </w:r>
    </w:p>
    <w:p>
      <w:pPr>
        <w:autoSpaceDN w:val="0"/>
        <w:autoSpaceDE w:val="0"/>
        <w:widowControl/>
        <w:spacing w:line="235" w:lineRule="auto" w:before="12" w:after="0"/>
        <w:ind w:left="0" w:right="62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1970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0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Tundu Prohibition Ordinance (Chapter 134)</w:t>
      </w:r>
    </w:p>
    <w:p>
      <w:pPr>
        <w:autoSpaceDN w:val="0"/>
        <w:tabs>
          <w:tab w:pos="2458" w:val="left"/>
        </w:tabs>
        <w:autoSpaceDE w:val="0"/>
        <w:widowControl/>
        <w:spacing w:line="238" w:lineRule="auto" w:before="212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Wages Boards Ordinance (Chapter 136)</w:t>
      </w:r>
    </w:p>
    <w:p>
      <w:pPr>
        <w:autoSpaceDN w:val="0"/>
        <w:tabs>
          <w:tab w:pos="2458" w:val="left"/>
        </w:tabs>
        <w:autoSpaceDE w:val="0"/>
        <w:widowControl/>
        <w:spacing w:line="235" w:lineRule="auto" w:before="210" w:after="0"/>
        <w:ind w:left="207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49.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Workmen’s Compensation Ordinance (Chapter 139)</w:t>
      </w:r>
    </w:p>
    <w:p>
      <w:pPr>
        <w:autoSpaceDN w:val="0"/>
        <w:autoSpaceDE w:val="0"/>
        <w:widowControl/>
        <w:spacing w:line="238" w:lineRule="auto" w:before="210" w:after="0"/>
        <w:ind w:left="0" w:right="4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Schedule II</w:t>
      </w:r>
    </w:p>
    <w:p>
      <w:pPr>
        <w:autoSpaceDN w:val="0"/>
        <w:autoSpaceDE w:val="0"/>
        <w:widowControl/>
        <w:spacing w:line="238" w:lineRule="auto" w:before="212" w:after="12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[section 2(3)]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2612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0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</w:t>
            </w:r>
          </w:p>
        </w:tc>
        <w:tc>
          <w:tcPr>
            <w:tcW w:type="dxa" w:w="2058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Column II</w:t>
            </w:r>
          </w:p>
        </w:tc>
      </w:tr>
      <w:tr>
        <w:trPr>
          <w:trHeight w:hRule="exact" w:val="55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Labour tribunal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2" w:val="left"/>
              </w:tabs>
              <w:autoSpaceDE w:val="0"/>
              <w:widowControl/>
              <w:spacing w:line="245" w:lineRule="auto" w:before="114" w:after="0"/>
              <w:ind w:left="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Relevant jurisdiction of the </w:t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Magistrate’s Court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0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2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616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8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13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Chief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Colombo 12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33, Maharagama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8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Homagama</w:t>
            </w:r>
          </w:p>
        </w:tc>
      </w:tr>
      <w:tr>
        <w:trPr>
          <w:trHeight w:hRule="exact" w:val="4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32, Ratmalana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Mount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Lavinia</w:t>
            </w:r>
          </w:p>
        </w:tc>
      </w:tr>
      <w:tr>
        <w:trPr>
          <w:trHeight w:hRule="exact" w:val="62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Tribunal No. 1/ Additional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2/ Additional, Battaramulla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45" w:lineRule="auto" w:before="160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Kaduwela</w:t>
            </w:r>
          </w:p>
        </w:tc>
      </w:tr>
      <w:tr>
        <w:trPr>
          <w:trHeight w:hRule="exact" w:val="574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30, Kaduwela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Kaduwela</w:t>
            </w:r>
          </w:p>
        </w:tc>
      </w:tr>
      <w:tr>
        <w:trPr>
          <w:trHeight w:hRule="exact" w:val="52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9.</w:t>
            </w:r>
          </w:p>
        </w:tc>
        <w:tc>
          <w:tcPr>
            <w:tcW w:type="dxa" w:w="2612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 Tribunal No. 19, Avissawella</w:t>
            </w:r>
          </w:p>
        </w:tc>
        <w:tc>
          <w:tcPr>
            <w:tcW w:type="dxa" w:w="2058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8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Avissawella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2392" w:val="left"/>
        </w:tabs>
        <w:autoSpaceDE w:val="0"/>
        <w:widowControl/>
        <w:spacing w:line="254" w:lineRule="auto" w:before="0" w:after="320"/>
        <w:ind w:left="159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Industrial Disputes (Special Provisions)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8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328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</w:t>
            </w:r>
          </w:p>
        </w:tc>
        <w:tc>
          <w:tcPr>
            <w:tcW w:type="dxa" w:w="267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10. Labour Tribunal No. 24, Gampaha</w:t>
            </w:r>
          </w:p>
        </w:tc>
        <w:tc>
          <w:tcPr>
            <w:tcW w:type="dxa" w:w="203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Gampaha</w:t>
            </w:r>
          </w:p>
        </w:tc>
      </w:tr>
      <w:tr>
        <w:trPr>
          <w:trHeight w:hRule="exact" w:val="55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11. Labour Tribunal No. 31, Wattala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Wattala</w:t>
            </w:r>
          </w:p>
        </w:tc>
      </w:tr>
      <w:tr>
        <w:trPr>
          <w:trHeight w:hRule="exact" w:val="62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28" w:after="0"/>
              <w:ind w:left="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12. Labour Tribunal No. 21, Negombo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No. 21/ Additional, Negombo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Negombo</w:t>
            </w:r>
          </w:p>
        </w:tc>
      </w:tr>
      <w:tr>
        <w:trPr>
          <w:trHeight w:hRule="exact" w:val="57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13. Labour Tribunal No. 25, Panadura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8" w:after="0"/>
              <w:ind w:left="62" w:right="576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Panadura</w:t>
            </w:r>
          </w:p>
        </w:tc>
      </w:tr>
      <w:tr>
        <w:trPr>
          <w:trHeight w:hRule="exact" w:val="41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14. Labour Tribunal No. 18, Kalutara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Kalutara</w:t>
            </w:r>
          </w:p>
        </w:tc>
      </w:tr>
      <w:tr>
        <w:trPr>
          <w:trHeight w:hRule="exact" w:val="37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15. Labour Tribunal No. 04, Galle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Galle</w:t>
            </w:r>
          </w:p>
        </w:tc>
      </w:tr>
      <w:tr>
        <w:trPr>
          <w:trHeight w:hRule="exact" w:val="45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16. Labour Tribunal No. 26, Matara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Matara</w:t>
            </w:r>
          </w:p>
        </w:tc>
      </w:tr>
      <w:tr>
        <w:trPr>
          <w:trHeight w:hRule="exact" w:val="57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17. Labour Tribunal No. 34, Kotapola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Morawaka</w:t>
            </w:r>
          </w:p>
        </w:tc>
      </w:tr>
      <w:tr>
        <w:trPr>
          <w:trHeight w:hRule="exact" w:val="48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18. Labour Tribunal No. 03, Kandy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Kandy</w:t>
            </w:r>
          </w:p>
        </w:tc>
      </w:tr>
      <w:tr>
        <w:trPr>
          <w:trHeight w:hRule="exact" w:val="37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39, Palapathwala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Matale</w:t>
            </w:r>
          </w:p>
        </w:tc>
      </w:tr>
      <w:tr>
        <w:trPr>
          <w:trHeight w:hRule="exact" w:val="50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38, Nawalapitiya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4" w:val="left"/>
              </w:tabs>
              <w:autoSpaceDE w:val="0"/>
              <w:widowControl/>
              <w:spacing w:line="245" w:lineRule="auto" w:before="82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Nawalapitiya</w:t>
            </w:r>
          </w:p>
        </w:tc>
      </w:tr>
      <w:tr>
        <w:trPr>
          <w:trHeight w:hRule="exact" w:val="61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37, Thalawakele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Thalawakele</w:t>
            </w:r>
          </w:p>
        </w:tc>
      </w:tr>
      <w:tr>
        <w:trPr>
          <w:trHeight w:hRule="exact" w:val="43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22. Labour Tribunal No. 10, Hatton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Hatton</w:t>
            </w:r>
          </w:p>
        </w:tc>
      </w:tr>
      <w:tr>
        <w:trPr>
          <w:trHeight w:hRule="exact" w:val="624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09, Nuwara-Eliya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" w:val="left"/>
              </w:tabs>
              <w:autoSpaceDE w:val="0"/>
              <w:widowControl/>
              <w:spacing w:line="245" w:lineRule="auto" w:before="9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Nuwara-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Eliya</w:t>
            </w:r>
          </w:p>
        </w:tc>
      </w:tr>
      <w:tr>
        <w:trPr>
          <w:trHeight w:hRule="exact" w:val="408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24. Labour Tribunal No. 05, Badulla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Badulla</w:t>
            </w:r>
          </w:p>
        </w:tc>
      </w:tr>
      <w:tr>
        <w:trPr>
          <w:trHeight w:hRule="exact" w:val="546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36, Bandarawela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Bandarawela</w:t>
            </w:r>
          </w:p>
        </w:tc>
      </w:tr>
      <w:tr>
        <w:trPr>
          <w:trHeight w:hRule="exact" w:val="44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26. Labour Tribunal No. 44, Ampara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Ampara</w:t>
            </w:r>
          </w:p>
        </w:tc>
      </w:tr>
      <w:tr>
        <w:trPr>
          <w:trHeight w:hRule="exact" w:val="600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06(R), Ratnapura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4" w:val="left"/>
              </w:tabs>
              <w:autoSpaceDE w:val="0"/>
              <w:widowControl/>
              <w:spacing w:line="245" w:lineRule="auto" w:before="42" w:after="0"/>
              <w:ind w:left="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Magistrate’s Court,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Ratnapura</w:t>
            </w:r>
          </w:p>
        </w:tc>
      </w:tr>
      <w:tr>
        <w:trPr>
          <w:trHeight w:hRule="exact" w:val="512"/>
        </w:trPr>
        <w:tc>
          <w:tcPr>
            <w:tcW w:type="dxa" w:w="328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28.</w:t>
            </w:r>
          </w:p>
        </w:tc>
        <w:tc>
          <w:tcPr>
            <w:tcW w:type="dxa" w:w="267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28. Labour Tribunal No. 40, Balangoda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Balangoda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54" w:lineRule="auto" w:before="0" w:after="260"/>
        <w:ind w:left="259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Industrial Disputes (Special Provisions)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82.0" w:type="dxa"/>
      </w:tblPr>
      <w:tblGrid>
        <w:gridCol w:w="3007"/>
        <w:gridCol w:w="3007"/>
        <w:gridCol w:w="3007"/>
      </w:tblGrid>
      <w:tr>
        <w:trPr>
          <w:trHeight w:hRule="exact" w:val="484"/>
        </w:trPr>
        <w:tc>
          <w:tcPr>
            <w:tcW w:type="dxa" w:w="34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29.</w:t>
            </w:r>
          </w:p>
        </w:tc>
        <w:tc>
          <w:tcPr>
            <w:tcW w:type="dxa" w:w="26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26" w:after="0"/>
              <w:ind w:left="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29. Labour Tribunal No. 06(E),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Embilipitiya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62" w:right="720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Embilipitiya</w:t>
            </w:r>
          </w:p>
        </w:tc>
      </w:tr>
      <w:tr>
        <w:trPr>
          <w:trHeight w:hRule="exact" w:val="44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30. Labour Tribunal No. 42, Kegalle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Kegalle</w:t>
            </w:r>
          </w:p>
        </w:tc>
      </w:tr>
      <w:tr>
        <w:trPr>
          <w:trHeight w:hRule="exact" w:val="518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23, Kurunegala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Kurunegala</w:t>
            </w:r>
          </w:p>
        </w:tc>
      </w:tr>
      <w:tr>
        <w:trPr>
          <w:trHeight w:hRule="exact" w:val="60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Labour Tribunal No. 46, Kuliyapitiya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Kuliyapitiya</w:t>
            </w:r>
          </w:p>
        </w:tc>
      </w:tr>
      <w:tr>
        <w:trPr>
          <w:trHeight w:hRule="exact" w:val="414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33. Labour Tribunal No. 28, Chilaw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Chilaw</w:t>
            </w:r>
          </w:p>
        </w:tc>
      </w:tr>
      <w:tr>
        <w:trPr>
          <w:trHeight w:hRule="exact" w:val="518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0" w:val="left"/>
              </w:tabs>
              <w:autoSpaceDE w:val="0"/>
              <w:widowControl/>
              <w:spacing w:line="245" w:lineRule="auto" w:before="68" w:after="0"/>
              <w:ind w:left="0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34. Labour Tribunal No. 27,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Anuradhapura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Anuradhapura</w:t>
            </w:r>
          </w:p>
        </w:tc>
      </w:tr>
      <w:tr>
        <w:trPr>
          <w:trHeight w:hRule="exact" w:val="580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35. Labour Tribunal, Trincomalee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Trincomalee</w:t>
            </w:r>
          </w:p>
        </w:tc>
      </w:tr>
      <w:tr>
        <w:trPr>
          <w:trHeight w:hRule="exact" w:val="610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36. Labour Tribunal No. 22, Batticaloa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Magistrate’s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Batticaloa</w:t>
            </w:r>
          </w:p>
        </w:tc>
      </w:tr>
      <w:tr>
        <w:trPr>
          <w:trHeight w:hRule="exact" w:val="452"/>
        </w:trPr>
        <w:tc>
          <w:tcPr>
            <w:tcW w:type="dxa" w:w="34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37.</w:t>
            </w:r>
          </w:p>
        </w:tc>
        <w:tc>
          <w:tcPr>
            <w:tcW w:type="dxa" w:w="26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37. Labour Tribunal, Jaffna</w:t>
            </w:r>
          </w:p>
        </w:tc>
        <w:tc>
          <w:tcPr>
            <w:tcW w:type="dxa" w:w="203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Magistrate’s Court, Jaffna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5908" w:space="0"/>
            <w:col w:w="3112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8.0" w:type="dxa"/>
      </w:tblPr>
      <w:tblGrid>
        <w:gridCol w:w="4510"/>
        <w:gridCol w:w="4510"/>
      </w:tblGrid>
      <w:tr>
        <w:trPr>
          <w:trHeight w:hRule="exact" w:val="9508"/>
        </w:trPr>
        <w:tc>
          <w:tcPr>
            <w:tcW w:type="dxa" w:w="77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54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Industrial Disputes (Special Provisions)</w:t>
            </w:r>
          </w:p>
        </w:tc>
      </w:tr>
    </w:tbl>
    <w:p>
      <w:pPr>
        <w:autoSpaceDN w:val="0"/>
        <w:autoSpaceDE w:val="0"/>
        <w:widowControl/>
        <w:spacing w:line="238" w:lineRule="auto" w:before="148" w:after="0"/>
        <w:ind w:left="0" w:right="350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5908" w:space="0"/>
        <w:col w:w="3112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