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4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58" w:after="0"/>
        <w:ind w:left="0" w:right="324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April 22, 2022</w:t>
      </w:r>
    </w:p>
    <w:p>
      <w:pPr>
        <w:autoSpaceDN w:val="0"/>
        <w:autoSpaceDE w:val="0"/>
        <w:widowControl/>
        <w:spacing w:line="332" w:lineRule="exact" w:before="158" w:after="0"/>
        <w:ind w:left="0" w:right="362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2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25.04.2022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48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exact" w:before="402" w:after="0"/>
        <w:ind w:left="1584" w:right="144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JAYAMAGA DEVELOPMENT, SOCIAL SERVICES </w:t>
      </w:r>
      <w:r>
        <w:rPr>
          <w:rFonts w:ascii="Times" w:hAnsi="Times" w:eastAsia="Times"/>
          <w:b/>
          <w:i w:val="0"/>
          <w:color w:val="221F1F"/>
          <w:sz w:val="24"/>
        </w:rPr>
        <w:t>AND CHARITY FOUNDATION (INCORPORATION)</w:t>
      </w:r>
    </w:p>
    <w:p>
      <w:pPr>
        <w:autoSpaceDN w:val="0"/>
        <w:autoSpaceDE w:val="0"/>
        <w:widowControl/>
        <w:spacing w:line="266" w:lineRule="exact" w:before="46" w:after="0"/>
        <w:ind w:left="0" w:right="35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Private Members’ Bill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78" w:lineRule="exact" w:before="246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6" w:lineRule="exact" w:before="222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6" w:lineRule="exact" w:before="302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incorporate the Jayamaga Development, Social Services and </w:t>
      </w:r>
      <w:r>
        <w:rPr>
          <w:rFonts w:ascii="Times" w:hAnsi="Times" w:eastAsia="Times"/>
          <w:b/>
          <w:i w:val="0"/>
          <w:color w:val="000000"/>
          <w:sz w:val="20"/>
        </w:rPr>
        <w:t>Charity Foundation</w:t>
      </w:r>
    </w:p>
    <w:p>
      <w:pPr>
        <w:autoSpaceDN w:val="0"/>
        <w:autoSpaceDE w:val="0"/>
        <w:widowControl/>
        <w:spacing w:line="244" w:lineRule="exact" w:before="238" w:after="0"/>
        <w:ind w:left="195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 Hon. Hector Appuhamy,  M.P.</w:t>
      </w:r>
    </w:p>
    <w:p>
      <w:pPr>
        <w:autoSpaceDN w:val="0"/>
        <w:autoSpaceDE w:val="0"/>
        <w:widowControl/>
        <w:spacing w:line="244" w:lineRule="exact" w:before="0" w:after="0"/>
        <w:ind w:left="0" w:right="361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for Puttalam District</w:t>
      </w:r>
    </w:p>
    <w:p>
      <w:pPr>
        <w:autoSpaceDN w:val="0"/>
        <w:autoSpaceDE w:val="0"/>
        <w:widowControl/>
        <w:spacing w:line="212" w:lineRule="exact" w:before="19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4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20" w:val="left"/>
        </w:tabs>
        <w:autoSpaceDE w:val="0"/>
        <w:widowControl/>
        <w:spacing w:line="276" w:lineRule="exact" w:before="1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Jayamaga Development, Social Services and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Charity Foundation (Incorporation)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8" w:lineRule="exact" w:before="178" w:after="17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221F1F"/>
          <w:sz w:val="14"/>
        </w:rPr>
        <w:t>AYAMAGA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OCIAL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ERVICES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HARITY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34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an Society  called and known as the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“Jayamaga Development, Social Services and Charity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Foundation” has heretofore been formed in Sri Lanka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effectually carrying out its  objects and transacting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matters connected  with the said Foundation according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agreed to by its members: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WHEREAS the said Foundation has heretofore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successfully carried out and transacted  several objects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for which it was established,  and has applied to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and it will be for the public advantage to grant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said application 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88" w:after="17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5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80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Jayamaga Development,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Services and Charity Foundation  (Incorporation)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8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   of  2022.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8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 date of commencement of this Act, such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so many persons as now are members of the  “Jayamaga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Jayamaga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Development, Social Services and Charity Foundation”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Development,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“Foundation”) or  shall  hereafter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Social</w:t>
            </w:r>
          </w:p>
        </w:tc>
      </w:tr>
      <w:tr>
        <w:trPr>
          <w:trHeight w:hRule="exact" w:val="18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admitted as members of the Corporation hereby constituted,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 and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Charity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 a body corporate, with perpetual succession, under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 and style of the “Jayamaga Development, Social Services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Charity Foundation” (hereinafter referred to as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“Corporation”) and by that name may sue and be sued,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full power and authority to have and  use a common seal and 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alter  the same at its pleasure.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2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Jayamaga Development, Social Services and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Charity Foundation (Incorporation)</w:t>
            </w:r>
          </w:p>
        </w:tc>
      </w:tr>
    </w:tbl>
    <w:p>
      <w:pPr>
        <w:autoSpaceDN w:val="0"/>
        <w:tabs>
          <w:tab w:pos="2304" w:val="left"/>
        </w:tabs>
        <w:autoSpaceDE w:val="0"/>
        <w:widowControl/>
        <w:spacing w:line="262" w:lineRule="exact" w:before="172" w:after="192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support and encourage the services provided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senior citizens movements;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90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584" w:right="1256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give aid by way of scholarships to any officer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servants engaged in the furtherance of the objects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Corporation;</w:t>
            </w:r>
          </w:p>
        </w:tc>
      </w:tr>
    </w:tbl>
    <w:p>
      <w:pPr>
        <w:autoSpaceDN w:val="0"/>
        <w:autoSpaceDE w:val="0"/>
        <w:widowControl/>
        <w:spacing w:line="258" w:lineRule="exact" w:before="204" w:after="194"/>
        <w:ind w:left="2304" w:right="2516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understanding, co-operation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friendship with similar institutions within and outside </w:t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02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322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284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4" w:after="0"/>
              <w:ind w:left="564" w:right="1256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organize employees of small and medium scale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industries and enterprises and working towards their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future advancement;</w:t>
            </w:r>
          </w:p>
          <w:p>
            <w:pPr>
              <w:autoSpaceDN w:val="0"/>
              <w:autoSpaceDE w:val="0"/>
              <w:widowControl/>
              <w:spacing w:line="260" w:lineRule="exact" w:before="258" w:after="0"/>
              <w:ind w:left="564" w:right="1256" w:hanging="33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design and implement social mobilization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programmes for the development of children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women and implementing education and training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programmes for this purpose;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564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provide training in fields of engineering,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technology, carpentry, driving and computing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young men and women who do not get access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higher education and directing them towards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vocations and starting training centres necessary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it; and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192"/>
        <w:ind w:left="2304" w:right="251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acts and things as are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for, and incidental or conducive to the attainment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the above 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6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desirable for the promotion or furtherance of the objects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or any one of them, including the power—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Jayamaga Development, Social Services and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Charity Foundation (Incorporation)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tabs>
          <w:tab w:pos="2396" w:val="left"/>
        </w:tabs>
        <w:autoSpaceDE w:val="0"/>
        <w:widowControl/>
        <w:spacing w:line="276" w:lineRule="exact" w:before="170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cash or kind;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76" w:lineRule="exact" w:before="27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acquire, in any manner whatsoever and hold,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give on lease or hire, rent, sell or otherwise dispose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of, any movable or immovable property and construct,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and alter any buildings or works 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convenient for the business of the Corporation;</w:t>
      </w:r>
    </w:p>
    <w:p>
      <w:pPr>
        <w:autoSpaceDN w:val="0"/>
        <w:autoSpaceDE w:val="0"/>
        <w:widowControl/>
        <w:spacing w:line="268" w:lineRule="exact" w:before="284" w:after="4"/>
        <w:ind w:left="20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to make, draw, accept, discount, endorse, negotiate,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3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buy, sell and issue bills of exchange, cheques,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promissory notes and other negotiable instruments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23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 and close bank accounts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borrow or raise money with or without security;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76" w:lineRule="exact" w:before="27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not immediately required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Corporation in such manner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of Management may determine;</w:t>
      </w:r>
    </w:p>
    <w:p>
      <w:pPr>
        <w:autoSpaceDN w:val="0"/>
        <w:autoSpaceDE w:val="0"/>
        <w:widowControl/>
        <w:spacing w:line="276" w:lineRule="exact" w:before="274" w:after="4"/>
        <w:ind w:left="239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enter into agreement or contracts with any person,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of persons whether incorporated in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or abroad or with any Government Department,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3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Corporation, Board, Provincial Council or Local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for the achievement of the objects of the</w:t>
            </w:r>
          </w:p>
        </w:tc>
      </w:tr>
    </w:tbl>
    <w:p>
      <w:pPr>
        <w:autoSpaceDN w:val="0"/>
        <w:autoSpaceDE w:val="0"/>
        <w:widowControl/>
        <w:spacing w:line="268" w:lineRule="exact" w:before="4" w:after="0"/>
        <w:ind w:left="0" w:right="55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autoSpaceDE w:val="0"/>
        <w:widowControl/>
        <w:spacing w:line="276" w:lineRule="exact" w:before="276" w:after="224"/>
        <w:ind w:left="2396" w:right="2424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determine the fees to be paid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different categories of membership;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0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556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appoint, employ, dismiss or terminate the services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and servants of the Corporation and to pay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23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4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Jayamaga Development, Social Services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4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Charity Foundation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provisions of this Act and the rules in force for the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of the Corporation be administered by a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Directors consisting of the Director-General, the Deputy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Chairman, the Secretary, Deputy Secretary and Treasurer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not less than seven other members elected in accordance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54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such rules.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Board of Directors of the Corporation shall consist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members of the Board of Directors of the day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preceding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9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and by the votes  not less than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two-thirds of the members present and voting, to make rules,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inconsistent with the provision of this Act or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for the admission, withdrawal or expulsion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members, the election of the Board of Management,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of the duties of the office bearers, agents, officers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servants of the Corporation, for the procedure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followed in the transaction of business by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Board of Management and generally,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of the affairs of the Corporation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accomplishment of its objects. Such rules when made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 like meeting and in like manner, be altered, added to,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or rescinded.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60" w:lineRule="exact" w:before="172" w:after="19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members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 All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way of gifts, bequests, donations,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transfers,  subscriptions, contributions, or fees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deposited to the credit of the Corporation in one or more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 as the Board of Management shall determine.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Jayamaga Development, Social Services and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Charity Foundation (Incorporation)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50" w:lineRule="exact" w:before="178" w:after="16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 of the Corporation,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required to defray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expenditure incurred by the Corporation in carrying out the </w:t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 moneys and property of the Corporation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870" w:after="0"/>
              <w:ind w:left="8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whosesoever derived shall be applied solely towards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as set forth herein and no portion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 shall be paid or transferred directly or indirectly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way of dividend, bonus or otherwise, to any member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</w:tabs>
              <w:autoSpaceDE w:val="0"/>
              <w:widowControl/>
              <w:spacing w:line="280" w:lineRule="exact" w:before="23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income and expenditure, assets and liabilities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other transactions of the Corporation.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48" w:lineRule="exact" w:before="18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 may be determined by the Board.</w:t>
      </w:r>
    </w:p>
    <w:p>
      <w:pPr>
        <w:autoSpaceDN w:val="0"/>
        <w:autoSpaceDE w:val="0"/>
        <w:widowControl/>
        <w:spacing w:line="266" w:lineRule="exact" w:before="230" w:after="168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this section, “qualified auditor” means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4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Lanka,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other institute established by law,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 a certificate to practice as an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Accountant issued by  the Council of such</w:t>
            </w:r>
          </w:p>
        </w:tc>
      </w:tr>
      <w:tr>
        <w:trPr>
          <w:trHeight w:hRule="exact" w:val="12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8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institute; or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  <w:tr>
        <w:trPr>
          <w:trHeight w:hRule="exact" w:val="25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 of which, being a member of the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of any other institute established by law,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 a certificate to practice as an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Accountant issued by the Council of such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Jayamaga Development, Social Services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826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Charity Foundation (Incorporation)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80" w:lineRule="exact" w:before="0" w:after="236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and the Secretary who shall sign their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names on the instrument in token of their presence and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signing shall be independent of the signing of any person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4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constituted,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exact" w:before="0" w:after="23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foundation on that day shall be paid to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law,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5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and  hold any property, movable or immovable,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testamentary disposition or otherwise, and all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8" w:lineRule="exact" w:before="0" w:after="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held by the Corporation for the purposes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in force for the time being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Corporation, with full power to sell, mortgage, lease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exchange or otherwise dispose of the same.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2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2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 distributed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8" w:after="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among the members of the Corporation but shall be given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transferred to some other Foundation or Foundations having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similar to those of the Corporation, and which is or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82" w:lineRule="exact" w:before="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are, by its rules thereof prohibited from distributing any income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property among its or their members. Such Foundation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Foundations shall be determined by the Board at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immediately before the dissolution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3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7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Jayamaga Development, Social Services and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98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Charity Foundation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8" w:val="left"/>
                <w:tab w:pos="834" w:val="left"/>
              </w:tabs>
              <w:autoSpaceDE w:val="0"/>
              <w:widowControl/>
              <w:spacing w:line="228" w:lineRule="exact" w:before="152" w:after="0"/>
              <w:ind w:left="1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Nothing in this Act contained shall prejudice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affect the rights of the Republic or of any body politic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corporate or of any other person, except such as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mentioned in this Act and those claiming by, from or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4" w:val="left"/>
              </w:tabs>
              <w:autoSpaceDE w:val="0"/>
              <w:widowControl/>
              <w:spacing w:line="278" w:lineRule="exact" w:before="102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508"/>
        </w:trPr>
        <w:tc>
          <w:tcPr>
            <w:tcW w:type="dxa" w:w="7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5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58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Jayamaga Development, Social Services and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Charity Foundation (Incorporation)</w:t>
            </w:r>
          </w:p>
        </w:tc>
      </w:tr>
    </w:tbl>
    <w:p>
      <w:pPr>
        <w:autoSpaceDN w:val="0"/>
        <w:autoSpaceDE w:val="0"/>
        <w:widowControl/>
        <w:spacing w:line="150" w:lineRule="exact" w:before="52" w:after="0"/>
        <w:ind w:left="0" w:right="34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