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23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April 29, 2022</w:t>
      </w:r>
    </w:p>
    <w:p>
      <w:pPr>
        <w:autoSpaceDN w:val="0"/>
        <w:autoSpaceDE w:val="0"/>
        <w:widowControl/>
        <w:spacing w:line="238" w:lineRule="auto" w:before="216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29.04.2022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2" w:after="0"/>
        <w:ind w:left="2016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REVOCATION  OF  IRREVOCABLE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 xml:space="preserve">DEEDS  OF  GIFT  ON  THE  GROUND  OF </w:t>
      </w:r>
      <w:r>
        <w:rPr>
          <w:rFonts w:ascii="Times" w:hAnsi="Times" w:eastAsia="Times"/>
          <w:b/>
          <w:i w:val="0"/>
          <w:color w:val="221F1F"/>
          <w:sz w:val="26"/>
        </w:rPr>
        <w:t>GROSS  INGRATITUDE  (AMENDMENT)</w:t>
      </w:r>
    </w:p>
    <w:p>
      <w:pPr>
        <w:autoSpaceDN w:val="0"/>
        <w:autoSpaceDE w:val="0"/>
        <w:widowControl/>
        <w:spacing w:line="235" w:lineRule="auto" w:before="38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80" w:after="0"/>
        <w:ind w:left="160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amend the </w:t>
      </w:r>
      <w:r>
        <w:rPr>
          <w:rFonts w:ascii="Times" w:hAnsi="Times" w:eastAsia="Times"/>
          <w:b/>
          <w:i w:val="0"/>
          <w:color w:val="221F1F"/>
          <w:sz w:val="20"/>
        </w:rPr>
        <w:t>Revocation of Irrevocable Deeds of Gift on the ground of</w:t>
      </w:r>
    </w:p>
    <w:p>
      <w:pPr>
        <w:autoSpaceDN w:val="0"/>
        <w:autoSpaceDE w:val="0"/>
        <w:widowControl/>
        <w:spacing w:line="238" w:lineRule="auto" w:before="58" w:after="0"/>
        <w:ind w:left="0" w:right="29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Gross Ingratitude Act, No. 5  of 2017</w:t>
      </w:r>
    </w:p>
    <w:p>
      <w:pPr>
        <w:autoSpaceDN w:val="0"/>
        <w:autoSpaceDE w:val="0"/>
        <w:widowControl/>
        <w:spacing w:line="235" w:lineRule="auto" w:before="298" w:after="0"/>
        <w:ind w:left="0" w:right="24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45" w:lineRule="auto" w:before="25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92" w:after="0"/>
        <w:ind w:left="1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8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Revocation of Irrevocable Deeds of Gift </w:t>
      </w:r>
      <w:r>
        <w:rPr>
          <w:rFonts w:ascii="Times" w:hAnsi="Times" w:eastAsia="Times"/>
          <w:b w:val="0"/>
          <w:i w:val="0"/>
          <w:color w:val="000000"/>
          <w:sz w:val="16"/>
        </w:rPr>
        <w:t>on the Ground of Gross Ingratitude Act, No. 5 of 2017 (hereinafter referred to as 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“principal enactment”) and the legal effect of the section as amended is to make provision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revoke an irrevocable deed of gift on the ground of gross ingratitude, only on an order </w:t>
      </w:r>
      <w:r>
        <w:rPr>
          <w:rFonts w:ascii="Times" w:hAnsi="Times" w:eastAsia="Times"/>
          <w:b w:val="0"/>
          <w:i w:val="0"/>
          <w:color w:val="000000"/>
          <w:sz w:val="16"/>
        </w:rPr>
        <w:t>made by a competent court.</w:t>
      </w:r>
    </w:p>
    <w:p>
      <w:pPr>
        <w:autoSpaceDN w:val="0"/>
        <w:autoSpaceDE w:val="0"/>
        <w:widowControl/>
        <w:spacing w:line="245" w:lineRule="auto" w:before="210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replaces section 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reduce the time period to three years within which an action </w:t>
      </w:r>
      <w:r>
        <w:rPr>
          <w:rFonts w:ascii="Times" w:hAnsi="Times" w:eastAsia="Times"/>
          <w:b w:val="0"/>
          <w:i w:val="0"/>
          <w:color w:val="000000"/>
          <w:sz w:val="16"/>
        </w:rPr>
        <w:t>shall be filed to revoke an irrevocable deed of gift on the ground of gross ingratitude.</w:t>
      </w:r>
    </w:p>
    <w:p>
      <w:pPr>
        <w:autoSpaceDN w:val="0"/>
        <w:autoSpaceDE w:val="0"/>
        <w:widowControl/>
        <w:spacing w:line="247" w:lineRule="auto" w:before="210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replaces section 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specify a comprehensive procedure for the registration of </w:t>
      </w:r>
      <w:r>
        <w:rPr>
          <w:rFonts w:ascii="Times" w:hAnsi="Times" w:eastAsia="Times"/>
          <w:b w:val="0"/>
          <w:i/>
          <w:color w:val="000000"/>
          <w:sz w:val="16"/>
        </w:rPr>
        <w:t>lis pendens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1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6 of the principal enactment for the purpose of </w:t>
      </w:r>
      <w:r>
        <w:rPr>
          <w:rFonts w:ascii="Times" w:hAnsi="Times" w:eastAsia="Times"/>
          <w:b w:val="0"/>
          <w:i w:val="0"/>
          <w:color w:val="000000"/>
          <w:sz w:val="16"/>
        </w:rPr>
        <w:t>clarity.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Revocation of Irrevocable Deeds of Gift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2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on the ground of Gross Ingratitude (Amendment)</w:t>
      </w:r>
    </w:p>
    <w:p>
      <w:pPr>
        <w:autoSpaceDN w:val="0"/>
        <w:autoSpaceDE w:val="0"/>
        <w:widowControl/>
        <w:spacing w:line="238" w:lineRule="auto" w:before="2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48/2021.</w:t>
      </w:r>
    </w:p>
    <w:p>
      <w:pPr>
        <w:autoSpaceDN w:val="0"/>
        <w:autoSpaceDE w:val="0"/>
        <w:widowControl/>
        <w:spacing w:line="238" w:lineRule="auto" w:before="376" w:after="0"/>
        <w:ind w:left="1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EVOCATION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RREVOCABLE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EEDS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IFT</w:t>
      </w:r>
    </w:p>
    <w:p>
      <w:pPr>
        <w:autoSpaceDN w:val="0"/>
        <w:autoSpaceDE w:val="0"/>
        <w:widowControl/>
        <w:spacing w:line="238" w:lineRule="auto" w:before="72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GROUND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ROSS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NGRATITUDE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2017</w:t>
      </w:r>
    </w:p>
    <w:p>
      <w:pPr>
        <w:autoSpaceDN w:val="0"/>
        <w:autoSpaceDE w:val="0"/>
        <w:widowControl/>
        <w:spacing w:line="235" w:lineRule="auto" w:before="3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76" w:after="3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Revocation of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36" w:after="3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Irrevocable Deeds of Gift on the ground of Gross Ingratitude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of 2022.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Revocation of Irrevocable Deeds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 on the ground of Gross Ingratitude Act, No. 5 of 2017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5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2017</w:t>
            </w:r>
          </w:p>
        </w:tc>
      </w:tr>
    </w:tbl>
    <w:p>
      <w:pPr>
        <w:autoSpaceDN w:val="0"/>
        <w:autoSpaceDE w:val="0"/>
        <w:widowControl/>
        <w:spacing w:line="238" w:lineRule="auto" w:before="38" w:after="3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repealed and the following section substituted therefor:–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“Revocation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2. The revocation of an irrevocable deed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gift on the ground of gross ingratitude shall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irrevocable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deed of gift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be made on an order made by a competent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court, in an action filed by the donor of such</w:t>
      </w:r>
    </w:p>
    <w:p>
      <w:pPr>
        <w:autoSpaceDN w:val="0"/>
        <w:autoSpaceDE w:val="0"/>
        <w:widowControl/>
        <w:spacing w:line="238" w:lineRule="auto" w:before="74" w:after="3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deed against the donee to have the said deed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revoked.”.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“Time period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 Court shall not entertain an action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which</w:t>
            </w:r>
          </w:p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2, unless it is filed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 shall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filed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years from the date on which cause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8" w:after="0"/>
        <w:ind w:left="0" w:right="49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action arose.”.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22" w:val="left"/>
          <w:tab w:pos="2462" w:val="left"/>
        </w:tabs>
        <w:autoSpaceDE w:val="0"/>
        <w:widowControl/>
        <w:spacing w:line="245" w:lineRule="auto" w:before="0" w:after="23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Revocation of Irrevocable Deeds of Gift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on the ground of Gross Ingratitude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“Procrdure to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 (1) The plaintiff, in an action instituted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followed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this Act shall file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 of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to be filed in the District Court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lis pendens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plaint, an application for registration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0"/>
        <w:ind w:left="0" w:right="509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–</w:t>
      </w:r>
    </w:p>
    <w:p>
      <w:pPr>
        <w:autoSpaceDN w:val="0"/>
        <w:tabs>
          <w:tab w:pos="3298" w:val="left"/>
          <w:tab w:pos="3622" w:val="left"/>
        </w:tabs>
        <w:autoSpaceDE w:val="0"/>
        <w:widowControl/>
        <w:spacing w:line="298" w:lineRule="auto" w:before="3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addressed to the Registrar of Lands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Registrar of Title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in the relevant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Registry or in the relevant Title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Registry as the case may be in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irrevocable deed of gift sought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revoked was registered; and</w:t>
      </w:r>
    </w:p>
    <w:p>
      <w:pPr>
        <w:autoSpaceDN w:val="0"/>
        <w:tabs>
          <w:tab w:pos="3298" w:val="left"/>
          <w:tab w:pos="3622" w:val="left"/>
        </w:tabs>
        <w:autoSpaceDE w:val="0"/>
        <w:widowControl/>
        <w:spacing w:line="293" w:lineRule="auto" w:before="3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contain the correct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number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irrevocable deed of gift sought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revoked has been previously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registered.</w:t>
      </w:r>
    </w:p>
    <w:p>
      <w:pPr>
        <w:autoSpaceDN w:val="0"/>
        <w:tabs>
          <w:tab w:pos="3022" w:val="left"/>
          <w:tab w:pos="3262" w:val="left"/>
        </w:tabs>
        <w:autoSpaceDE w:val="0"/>
        <w:widowControl/>
        <w:spacing w:line="300" w:lineRule="auto" w:before="3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court shall cause to forward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original, counterpart original and a copy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lis pendens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relevant Registrar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Lands or the Registrar of Title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to register the </w:t>
      </w:r>
      <w:r>
        <w:rPr>
          <w:rFonts w:ascii="Times" w:hAnsi="Times" w:eastAsia="Times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correct volume and folio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land and return the original of such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the Registrar of the District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66" w:val="left"/>
          <w:tab w:pos="6494" w:val="left"/>
        </w:tabs>
        <w:autoSpaceDE w:val="0"/>
        <w:widowControl/>
        <w:spacing w:line="245" w:lineRule="auto" w:before="0" w:after="0"/>
        <w:ind w:left="2226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Revocation of Irrevocable Deeds of Gift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on the ground of Gross Ingratitude (Amendment)</w:t>
      </w:r>
    </w:p>
    <w:p>
      <w:pPr>
        <w:autoSpaceDN w:val="0"/>
        <w:tabs>
          <w:tab w:pos="3118" w:val="left"/>
          <w:tab w:pos="3358" w:val="left"/>
        </w:tabs>
        <w:autoSpaceDE w:val="0"/>
        <w:widowControl/>
        <w:spacing w:line="310" w:lineRule="auto" w:before="29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</w:t>
      </w:r>
      <w:r>
        <w:rPr>
          <w:rFonts w:ascii="Times" w:hAnsi="Times" w:eastAsia="Times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being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in the correct volume and folio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Land Registry or in the Title Registry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the registered attorney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law for the plaintiff shall file a declaration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stating that –</w:t>
      </w:r>
    </w:p>
    <w:p>
      <w:pPr>
        <w:autoSpaceDN w:val="0"/>
        <w:tabs>
          <w:tab w:pos="3372" w:val="left"/>
          <w:tab w:pos="3718" w:val="left"/>
        </w:tabs>
        <w:autoSpaceDE w:val="0"/>
        <w:widowControl/>
        <w:spacing w:line="305" w:lineRule="auto" w:before="3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relevant entries in the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Registry or the Title Registry,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have been duly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personally examined by him; and</w:t>
      </w:r>
    </w:p>
    <w:p>
      <w:pPr>
        <w:autoSpaceDN w:val="0"/>
        <w:autoSpaceDE w:val="0"/>
        <w:widowControl/>
        <w:spacing w:line="295" w:lineRule="auto" w:before="384" w:after="0"/>
        <w:ind w:left="37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 other person shall be made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to such case to give notice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 such entries.</w:t>
      </w:r>
    </w:p>
    <w:p>
      <w:pPr>
        <w:autoSpaceDN w:val="0"/>
        <w:tabs>
          <w:tab w:pos="3118" w:val="left"/>
          <w:tab w:pos="3338" w:val="left"/>
        </w:tabs>
        <w:autoSpaceDE w:val="0"/>
        <w:widowControl/>
        <w:spacing w:line="295" w:lineRule="auto" w:before="3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District Court may, if it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of the contents of the declaration,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issue summons.</w:t>
      </w:r>
    </w:p>
    <w:p>
      <w:pPr>
        <w:autoSpaceDN w:val="0"/>
        <w:tabs>
          <w:tab w:pos="3118" w:val="left"/>
          <w:tab w:pos="3338" w:val="left"/>
        </w:tabs>
        <w:autoSpaceDE w:val="0"/>
        <w:widowControl/>
        <w:spacing w:line="314" w:lineRule="auto" w:before="3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application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in triplicate marked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“original”, “counterpart original” and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“copy” and be substantially in the 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made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Documents Ordinance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117) and shall contain a blank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space for the insertion of the number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the action by the District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22" w:val="left"/>
          <w:tab w:pos="2462" w:val="left"/>
        </w:tabs>
        <w:autoSpaceDE w:val="0"/>
        <w:widowControl/>
        <w:spacing w:line="245" w:lineRule="auto" w:before="0" w:after="194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Revocation of Irrevocable Deeds of Gift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on the ground of Gross Ingratitude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definition of the expression “Registrar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6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Lands”, by the substitution for the words “deed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 which is sought  to be revoked is situated; and”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“deed of gift which is sought to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revoked is situated;</w:t>
      </w:r>
    </w:p>
    <w:p>
      <w:pPr>
        <w:autoSpaceDN w:val="0"/>
        <w:tabs>
          <w:tab w:pos="2018" w:val="left"/>
          <w:tab w:pos="2422" w:val="left"/>
          <w:tab w:pos="244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“Registrar of Lands”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definition:–</w:t>
      </w:r>
    </w:p>
    <w:p>
      <w:pPr>
        <w:autoSpaceDN w:val="0"/>
        <w:tabs>
          <w:tab w:pos="2542" w:val="left"/>
          <w:tab w:pos="3022" w:val="left"/>
        </w:tabs>
        <w:autoSpaceDE w:val="0"/>
        <w:widowControl/>
        <w:spacing w:line="247" w:lineRule="auto" w:before="24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“Registrar of Title” means, any person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Registrar of Title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Title Act, No. 21 of 1998,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having jurisdiction over the district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land which forms the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of an irrevocable deed of gift sought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revoked is situated;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7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4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Revocation of Irrevocable Deeds of Gift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2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on the ground of Gross Ingratitude (Amendment)</w:t>
      </w:r>
    </w:p>
    <w:p>
      <w:pPr>
        <w:autoSpaceDN w:val="0"/>
        <w:autoSpaceDE w:val="0"/>
        <w:widowControl/>
        <w:spacing w:line="235" w:lineRule="auto" w:before="9024" w:after="0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