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2" w:after="0"/>
        <w:ind w:left="0" w:right="322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April 29, 2022</w:t>
      </w:r>
    </w:p>
    <w:p>
      <w:pPr>
        <w:autoSpaceDN w:val="0"/>
        <w:autoSpaceDE w:val="0"/>
        <w:widowControl/>
        <w:spacing w:line="230" w:lineRule="auto" w:before="310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54" w:lineRule="auto" w:before="296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29.04.2022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41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6"/>
        </w:rPr>
        <w:t>WILLS (AMENDMENT)</w:t>
      </w:r>
    </w:p>
    <w:p>
      <w:pPr>
        <w:autoSpaceDN w:val="0"/>
        <w:autoSpaceDE w:val="0"/>
        <w:widowControl/>
        <w:spacing w:line="230" w:lineRule="auto" w:before="324" w:after="0"/>
        <w:ind w:left="0" w:right="437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0" w:lineRule="auto" w:before="374" w:after="0"/>
        <w:ind w:left="0" w:right="416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3" w:lineRule="auto" w:before="322" w:after="0"/>
        <w:ind w:left="0" w:right="2608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to amend the Wills Ordinance (Chapter 60)</w:t>
      </w:r>
    </w:p>
    <w:p>
      <w:pPr>
        <w:autoSpaceDN w:val="0"/>
        <w:autoSpaceDE w:val="0"/>
        <w:widowControl/>
        <w:spacing w:line="254" w:lineRule="auto" w:before="422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45" w:lineRule="auto" w:before="442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1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2" w:right="1434" w:firstLine="26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replaces section 2 of the Wills Ordinance (Chapter 60) (hereinafter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referred to as the “principal enactment”) and the legel effect of the new section is to specify the </w:t>
      </w:r>
      <w:r>
        <w:rPr>
          <w:rFonts w:ascii="Times" w:hAnsi="Times" w:eastAsia="Times"/>
          <w:b w:val="0"/>
          <w:i w:val="0"/>
          <w:color w:val="000000"/>
          <w:sz w:val="16"/>
        </w:rPr>
        <w:t>requirements relating to making of a last will.</w:t>
      </w:r>
    </w:p>
    <w:p>
      <w:pPr>
        <w:autoSpaceDN w:val="0"/>
        <w:autoSpaceDE w:val="0"/>
        <w:widowControl/>
        <w:spacing w:line="238" w:lineRule="auto" w:before="210" w:after="0"/>
        <w:ind w:left="16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repeals section 3 of the principal enactment.</w:t>
      </w:r>
    </w:p>
    <w:p>
      <w:pPr>
        <w:autoSpaceDN w:val="0"/>
        <w:autoSpaceDE w:val="0"/>
        <w:widowControl/>
        <w:spacing w:line="235" w:lineRule="auto" w:before="212" w:after="0"/>
        <w:ind w:left="160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repeals section 4 of the principal enactment.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1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7 of the principal enactment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>section as amended is to enhance the scope of the said section.</w:t>
      </w:r>
    </w:p>
    <w:p>
      <w:pPr>
        <w:autoSpaceDN w:val="0"/>
        <w:tabs>
          <w:tab w:pos="1602" w:val="left"/>
        </w:tabs>
        <w:autoSpaceDE w:val="0"/>
        <w:widowControl/>
        <w:spacing w:line="245" w:lineRule="auto" w:before="210" w:after="0"/>
        <w:ind w:left="1342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9 of the principal enactment and the legal effect of the </w:t>
      </w:r>
      <w:r>
        <w:rPr>
          <w:rFonts w:ascii="Times" w:hAnsi="Times" w:eastAsia="Times"/>
          <w:b w:val="0"/>
          <w:i w:val="0"/>
          <w:color w:val="000000"/>
          <w:sz w:val="16"/>
        </w:rPr>
        <w:t>section as amended is to enhance the scope of the said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0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1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D.–O. 49/2021</w:t>
      </w:r>
    </w:p>
    <w:p>
      <w:pPr>
        <w:autoSpaceDN w:val="0"/>
        <w:autoSpaceDE w:val="0"/>
        <w:widowControl/>
        <w:spacing w:line="238" w:lineRule="auto" w:before="294" w:after="0"/>
        <w:ind w:left="21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ILLS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60)</w:t>
      </w:r>
    </w:p>
    <w:p>
      <w:pPr>
        <w:autoSpaceDN w:val="0"/>
        <w:autoSpaceDE w:val="0"/>
        <w:widowControl/>
        <w:spacing w:line="254" w:lineRule="auto" w:before="292" w:after="0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2" w:after="232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Wills (Amendment)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No.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 of the Wills Ordinance (Chapter 60)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60</w:t>
            </w:r>
          </w:p>
        </w:tc>
      </w:tr>
      <w:tr>
        <w:trPr>
          <w:trHeight w:hRule="exact" w:val="3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“Disposition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2. (1) It shall be lawful for any person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6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property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will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reached the age of eighteen years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residing within or outside Sri Lanka to execute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6" w:val="left"/>
        </w:tabs>
        <w:autoSpaceDE w:val="0"/>
        <w:widowControl/>
        <w:spacing w:line="266" w:lineRule="auto" w:before="1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will bequeathing and disposing any movable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immovable property and all and every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estate, right, share or interest in any property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belong to him and which, if not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devised, bequeathed or disposed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devolve upon his heirs of such person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legally incapacitated from taking the same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 shall seem fit.</w:t>
      </w:r>
    </w:p>
    <w:p>
      <w:pPr>
        <w:autoSpaceDN w:val="0"/>
        <w:autoSpaceDE w:val="0"/>
        <w:widowControl/>
        <w:spacing w:line="238" w:lineRule="auto" w:before="2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testator shall have full power to</w:t>
      </w:r>
    </w:p>
    <w:p>
      <w:pPr>
        <w:autoSpaceDN w:val="0"/>
        <w:tabs>
          <w:tab w:pos="2876" w:val="left"/>
        </w:tabs>
        <w:autoSpaceDE w:val="0"/>
        <w:widowControl/>
        <w:spacing w:line="269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such testamentary disposition as he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feel disposed, and in the exercise of such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exclude any child, parent, relative,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descendant, or to disinherit or omit to mention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such person, without assigning any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such exclusion, disinheritance, or omission,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law, usage, or custom now or herefore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force in Sri Lanka to the contrary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3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Wills (Amendment)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90" w:lineRule="auto" w:before="522" w:after="27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nothing herein contained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extend or be construed to extend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authorize or entitle any testator to dispose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of any property or estate of his spouse,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exclude or deprive such spouse of any life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interest in any property, and to 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property, estate, or interest such spouse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been entitled if this Ordinance had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passed.”.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 of the principal enactment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 of</w:t>
            </w:r>
          </w:p>
        </w:tc>
      </w:tr>
      <w:tr>
        <w:trPr>
          <w:trHeight w:hRule="exact" w:val="17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5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 of the principal enactment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4 of</w:t>
            </w:r>
          </w:p>
        </w:tc>
      </w:tr>
      <w:tr>
        <w:trPr>
          <w:trHeight w:hRule="exact" w:val="17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25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7 of the principal enactment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section 7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renumbering of that section as subsection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4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thereof;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addition, immediately after the renumbered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9" w:lineRule="auto" w:before="2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thereof,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subsection:–</w:t>
      </w:r>
    </w:p>
    <w:p>
      <w:pPr>
        <w:autoSpaceDN w:val="0"/>
        <w:tabs>
          <w:tab w:pos="2422" w:val="left"/>
          <w:tab w:pos="2622" w:val="left"/>
        </w:tabs>
        <w:autoSpaceDE w:val="0"/>
        <w:widowControl/>
        <w:spacing w:line="286" w:lineRule="auto" w:before="33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Upon the demise of a testator in a joint last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will, testamentary proceedings shall be instituted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Chapter XXXVIII or Chapter XXXVIIIB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Civil Procedure Code (Chapter 101), as the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be, to obtain the probate or letters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with the will annexed proving the</w:t>
      </w:r>
    </w:p>
    <w:p>
      <w:pPr>
        <w:autoSpaceDN w:val="0"/>
        <w:tabs>
          <w:tab w:pos="2422" w:val="left"/>
        </w:tabs>
        <w:autoSpaceDE w:val="0"/>
        <w:widowControl/>
        <w:spacing w:line="281" w:lineRule="auto" w:before="5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will.”.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1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9 of the principal enactment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 for the words “buildings erected on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section 9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same, and”, of the words, “buildings erected on the same,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condominium parcel or any land parcel, and”.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584"/>
        </w:trPr>
        <w:tc>
          <w:tcPr>
            <w:tcW w:type="dxa" w:w="122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7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02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Wills (Amendment)</w:t>
            </w:r>
          </w:p>
        </w:tc>
      </w:tr>
    </w:tbl>
    <w:p>
      <w:pPr>
        <w:autoSpaceDN w:val="0"/>
        <w:autoSpaceDE w:val="0"/>
        <w:widowControl/>
        <w:spacing w:line="235" w:lineRule="auto" w:before="24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