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4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April 29,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04.05.2022)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736" w:right="2592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SAWEERA FOUNDATION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35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1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6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08" w:after="0"/>
        <w:ind w:left="0" w:right="280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Saweera Foundation</w:t>
      </w:r>
    </w:p>
    <w:p>
      <w:pPr>
        <w:autoSpaceDN w:val="0"/>
        <w:autoSpaceDE w:val="0"/>
        <w:widowControl/>
        <w:spacing w:line="245" w:lineRule="auto" w:before="336" w:after="0"/>
        <w:ind w:left="1728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(Major) Pradeep Undugoda, </w:t>
      </w:r>
      <w:r>
        <w:rPr>
          <w:rFonts w:ascii="Times" w:hAnsi="Times" w:eastAsia="Times"/>
          <w:b w:val="0"/>
          <w:i/>
          <w:color w:val="221F1F"/>
          <w:sz w:val="20"/>
        </w:rPr>
        <w:t>M. P. for Colombo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2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AWEERA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52" w:lineRule="auto" w:before="26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“Saweera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 connected with the said foundation according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autoSpaceDE w:val="0"/>
        <w:widowControl/>
        <w:spacing w:line="252" w:lineRule="auto" w:before="26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>be  incorporated, and it will be expedient to grant the said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42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Saweera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Saweera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Saweera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“Saweera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“Body corporate”)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that name may sue and be sued, in all Courts with 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 authority to have and use a common seal and alter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in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courses , lectures and seminars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self- employment among the community,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directing them to jobs and providing them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training and support;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specific skills development programmes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workshops for school leavers and employed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youths with a view to enhancing leadership skills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personality development in young men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supply sanitary facilities, water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infrastructure to households of people living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poverty.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8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“the Board”)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office bearers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rules made under section 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first Board of the Body corporate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elected within one year of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office bearer of the Board including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three years and any such office bearer, patron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shall be eligible for re-appointment or re-election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782" w:val="left"/>
        </w:tabs>
        <w:autoSpaceDE w:val="0"/>
        <w:widowControl/>
        <w:spacing w:line="235" w:lineRule="auto" w:before="0" w:after="0"/>
        <w:ind w:left="29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Saweera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194"/>
        <w:ind w:left="208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4654"/>
        <w:gridCol w:w="4654"/>
      </w:tblGrid>
      <w:tr>
        <w:trPr>
          <w:trHeight w:hRule="exact" w:val="5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20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76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84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372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orporate</w:t>
            </w:r>
          </w:p>
        </w:tc>
      </w:tr>
      <w:tr>
        <w:trPr>
          <w:trHeight w:hRule="exact" w:val="24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186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186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power—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686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4654"/>
        <w:gridCol w:w="4654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purpose of the Body corporate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40" w:val="left"/>
          <w:tab w:pos="2686" w:val="left"/>
        </w:tabs>
        <w:autoSpaceDE w:val="0"/>
        <w:widowControl/>
        <w:spacing w:line="254" w:lineRule="auto" w:before="254" w:after="0"/>
        <w:ind w:left="17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autoSpaceDE w:val="0"/>
        <w:widowControl/>
        <w:spacing w:line="247" w:lineRule="auto" w:before="234" w:after="0"/>
        <w:ind w:left="2686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Finance, in respect of all foreign grants,</w:t>
      </w:r>
    </w:p>
    <w:p>
      <w:pPr>
        <w:autoSpaceDN w:val="0"/>
        <w:tabs>
          <w:tab w:pos="2686" w:val="left"/>
        </w:tabs>
        <w:autoSpaceDE w:val="0"/>
        <w:widowControl/>
        <w:spacing w:line="266" w:lineRule="auto" w:before="14" w:after="0"/>
        <w:ind w:left="17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47" w:lineRule="auto" w:before="224" w:after="194"/>
        <w:ind w:left="2686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4654"/>
        <w:gridCol w:w="4654"/>
      </w:tblGrid>
      <w:tr>
        <w:trPr>
          <w:trHeight w:hRule="exact" w:val="53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to invest any funds not immediately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Body corporate in such manner as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Board may determine;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50" w:lineRule="auto" w:before="500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2" w:lineRule="auto" w:before="250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6" w:after="19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Board,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sub-committee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 and the Body 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rules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17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deposited in one or more Banks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There shall be paid out of the Fund, all sums of money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in the exercise, performance and discharge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power, duties and functions under the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54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8" w:lineRule="auto" w:before="282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means—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59" w:lineRule="auto" w:before="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62" w:lineRule="auto" w:before="280" w:after="22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Centre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204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to,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Centre on that day shall be paid to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rules of the Body corporate  made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7, with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money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0" w:lineRule="auto" w:before="266" w:after="1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distributed among the members of the Body corporate,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Saweera Foundation (Incorporation)</w:t>
      </w:r>
    </w:p>
    <w:p>
      <w:pPr>
        <w:autoSpaceDN w:val="0"/>
        <w:autoSpaceDE w:val="0"/>
        <w:widowControl/>
        <w:spacing w:line="245" w:lineRule="auto" w:before="48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9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430"/>
        </w:trPr>
        <w:tc>
          <w:tcPr>
            <w:tcW w:type="dxa" w:w="46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Saweera Foundation (Incorporation)</w:t>
            </w:r>
          </w:p>
        </w:tc>
        <w:tc>
          <w:tcPr>
            <w:tcW w:type="dxa" w:w="15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