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 GAZETTE  OF  THE 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 LANKA</w:t>
      </w:r>
    </w:p>
    <w:p>
      <w:pPr>
        <w:autoSpaceDN w:val="0"/>
        <w:autoSpaceDE w:val="0"/>
        <w:widowControl/>
        <w:spacing w:line="238" w:lineRule="auto" w:before="206" w:after="0"/>
        <w:ind w:left="0" w:right="321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April  29, 2022</w:t>
      </w:r>
    </w:p>
    <w:p>
      <w:pPr>
        <w:autoSpaceDN w:val="0"/>
        <w:autoSpaceDE w:val="0"/>
        <w:widowControl/>
        <w:spacing w:line="238" w:lineRule="auto" w:before="30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4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04.05.2022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66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12" w:after="0"/>
        <w:ind w:left="217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4"/>
        </w:rPr>
        <w:t>SRI LANKA ELECTRICITY (AMENDMENT)</w:t>
      </w:r>
    </w:p>
    <w:p>
      <w:pPr>
        <w:autoSpaceDN w:val="0"/>
        <w:autoSpaceDE w:val="0"/>
        <w:widowControl/>
        <w:spacing w:line="235" w:lineRule="auto" w:before="376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8" w:lineRule="auto" w:before="332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5" w:lineRule="auto" w:before="462" w:after="0"/>
        <w:ind w:left="0" w:right="2158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Sri Lanka Electricity Act, No. 20 of 2009</w:t>
      </w:r>
    </w:p>
    <w:p>
      <w:pPr>
        <w:autoSpaceDN w:val="0"/>
        <w:autoSpaceDE w:val="0"/>
        <w:widowControl/>
        <w:spacing w:line="238" w:lineRule="auto" w:before="534" w:after="0"/>
        <w:ind w:left="0" w:right="244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the Minister of Power</w:t>
      </w:r>
    </w:p>
    <w:p>
      <w:pPr>
        <w:autoSpaceDN w:val="0"/>
        <w:autoSpaceDE w:val="0"/>
        <w:widowControl/>
        <w:spacing w:line="245" w:lineRule="auto" w:before="642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8" w:lineRule="auto" w:before="50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6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724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72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22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35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14" w:after="0"/>
        <w:ind w:left="1342" w:right="1436" w:firstLine="26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8 of the Sri Lanka Electricity Act, No. 20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2009 (hereinafter referred to as the “principal enactment”) and the legal effect of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section as amended is to allow any person to participate in a bidding process for the </w:t>
      </w:r>
      <w:r>
        <w:rPr>
          <w:rFonts w:ascii="Times" w:hAnsi="Times" w:eastAsia="Times"/>
          <w:b w:val="0"/>
          <w:i w:val="0"/>
          <w:color w:val="000000"/>
          <w:sz w:val="16"/>
        </w:rPr>
        <w:t>generation of electricity.</w:t>
      </w:r>
    </w:p>
    <w:p>
      <w:pPr>
        <w:autoSpaceDN w:val="0"/>
        <w:tabs>
          <w:tab w:pos="1602" w:val="left"/>
        </w:tabs>
        <w:autoSpaceDE w:val="0"/>
        <w:widowControl/>
        <w:spacing w:line="245" w:lineRule="auto" w:before="202" w:after="0"/>
        <w:ind w:left="134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>Clause 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9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>of the section as amended is -</w:t>
      </w:r>
    </w:p>
    <w:p>
      <w:pPr>
        <w:autoSpaceDN w:val="0"/>
        <w:tabs>
          <w:tab w:pos="2064" w:val="left"/>
        </w:tabs>
        <w:autoSpaceDE w:val="0"/>
        <w:widowControl/>
        <w:spacing w:line="245" w:lineRule="auto" w:before="202" w:after="0"/>
        <w:ind w:left="180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to allow any person to apply for the issue of a generation licence to generate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electricity; and</w:t>
      </w:r>
    </w:p>
    <w:p>
      <w:pPr>
        <w:autoSpaceDN w:val="0"/>
        <w:autoSpaceDE w:val="0"/>
        <w:widowControl/>
        <w:spacing w:line="247" w:lineRule="auto" w:before="202" w:after="0"/>
        <w:ind w:left="2064" w:right="1436" w:hanging="26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to take away the restriction imposed on a person to be eligible to apply for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issue of a generation licence to generate electricity over and above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generation capacity of 25 M.W. and also to allow any person to apply for the </w:t>
      </w:r>
      <w:r>
        <w:rPr>
          <w:rFonts w:ascii="Times" w:hAnsi="Times" w:eastAsia="Times"/>
          <w:b w:val="0"/>
          <w:i w:val="0"/>
          <w:color w:val="000000"/>
          <w:sz w:val="16"/>
        </w:rPr>
        <w:t>same without any demarcation on the generation capacity.</w:t>
      </w:r>
    </w:p>
    <w:p>
      <w:pPr>
        <w:autoSpaceDN w:val="0"/>
        <w:tabs>
          <w:tab w:pos="1602" w:val="left"/>
        </w:tabs>
        <w:autoSpaceDE w:val="0"/>
        <w:widowControl/>
        <w:spacing w:line="245" w:lineRule="auto" w:before="202" w:after="0"/>
        <w:ind w:left="134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>Clause 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43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>effect of the section as amended is -</w:t>
      </w:r>
    </w:p>
    <w:p>
      <w:pPr>
        <w:autoSpaceDN w:val="0"/>
        <w:tabs>
          <w:tab w:pos="2064" w:val="left"/>
        </w:tabs>
        <w:autoSpaceDE w:val="0"/>
        <w:widowControl/>
        <w:spacing w:line="245" w:lineRule="auto" w:before="202" w:after="0"/>
        <w:ind w:left="180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the repeal of subsection (3) thereof as an consequential amendment made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relation to the amendment made to subsection (1) of section 9; and</w:t>
      </w:r>
    </w:p>
    <w:p>
      <w:pPr>
        <w:autoSpaceDN w:val="0"/>
        <w:autoSpaceDE w:val="0"/>
        <w:widowControl/>
        <w:spacing w:line="247" w:lineRule="auto" w:before="202" w:after="0"/>
        <w:ind w:left="2064" w:right="1436" w:hanging="26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to expand the application of the provisions of the proviso to any existing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generation plant that is to be developed and also to rectify an omission in that </w:t>
      </w:r>
      <w:r>
        <w:rPr>
          <w:rFonts w:ascii="Times" w:hAnsi="Times" w:eastAsia="Times"/>
          <w:b w:val="0"/>
          <w:i w:val="0"/>
          <w:color w:val="000000"/>
          <w:sz w:val="16"/>
        </w:rPr>
        <w:t>subsection.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92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2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Sri Lanka Electricity (Amendment)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L.D.–O. 8/2019</w:t>
      </w:r>
    </w:p>
    <w:p>
      <w:pPr>
        <w:autoSpaceDN w:val="0"/>
        <w:autoSpaceDE w:val="0"/>
        <w:widowControl/>
        <w:spacing w:line="247" w:lineRule="auto" w:before="266" w:after="0"/>
        <w:ind w:left="2448" w:right="302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20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2009</w:t>
      </w:r>
    </w:p>
    <w:p>
      <w:pPr>
        <w:autoSpaceDN w:val="0"/>
        <w:autoSpaceDE w:val="0"/>
        <w:widowControl/>
        <w:spacing w:line="247" w:lineRule="auto" w:before="264" w:after="20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Sri Lanka Electricity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20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No.     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8 of the Sri Lanka Electricity Act, No. 20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2009 (hereinafter referred to as the “principal enactment”) is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9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 of  Act,</w:t>
            </w:r>
          </w:p>
        </w:tc>
      </w:tr>
      <w:tr>
        <w:trPr>
          <w:trHeight w:hRule="exact" w:val="10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repealed and the following section substituted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 20 of</w:t>
            </w:r>
          </w:p>
        </w:tc>
      </w:tr>
      <w:tr>
        <w:trPr>
          <w:trHeight w:hRule="exact" w:val="3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therefor:-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2009</w:t>
            </w:r>
          </w:p>
        </w:tc>
      </w:tr>
      <w:tr>
        <w:trPr>
          <w:trHeight w:hRule="exact" w:val="684"/>
        </w:trPr>
        <w:tc>
          <w:tcPr>
            <w:tcW w:type="dxa" w:w="1804"/>
            <w:vMerge/>
            <w:tcBorders/>
          </w:tcPr>
          <w:p/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“participating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a bidding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process for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76" w:val="left"/>
              </w:tabs>
              <w:autoSpaceDE w:val="0"/>
              <w:widowControl/>
              <w:spacing w:line="247" w:lineRule="auto" w:before="150" w:after="0"/>
              <w:ind w:left="7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8. Any person may participate in a bidding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process for the generation of electricity.”.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6" w:after="310"/>
        <w:ind w:left="1798" w:right="61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generation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electricity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9 of the principal enactment is hereby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9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756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82" w:val="left"/>
              </w:tabs>
              <w:autoSpaceDE w:val="0"/>
              <w:widowControl/>
              <w:spacing w:line="377" w:lineRule="auto" w:before="20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repeal of subsection (1) thereof and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0"/>
        <w:ind w:left="0" w:right="33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following:-</w:t>
      </w:r>
    </w:p>
    <w:p>
      <w:pPr>
        <w:autoSpaceDN w:val="0"/>
        <w:tabs>
          <w:tab w:pos="2756" w:val="left"/>
          <w:tab w:pos="2996" w:val="left"/>
        </w:tabs>
        <w:autoSpaceDE w:val="0"/>
        <w:widowControl/>
        <w:spacing w:line="250" w:lineRule="auto" w:before="266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“(1) Any persion shall be eligible to apply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issue of a generation licence to generate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electricity.”; and</w:t>
      </w:r>
    </w:p>
    <w:p>
      <w:pPr>
        <w:autoSpaceDN w:val="0"/>
        <w:autoSpaceDE w:val="0"/>
        <w:widowControl/>
        <w:spacing w:line="235" w:lineRule="auto" w:before="266" w:after="206"/>
        <w:ind w:left="21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by the repeal of subsection (1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thereof.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43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43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repeal of subsection (3) thereof ;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2688" w:val="left"/>
        </w:tabs>
        <w:autoSpaceDE w:val="0"/>
        <w:widowControl/>
        <w:spacing w:line="242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Sri Lanka Electricity (Amendment)</w:t>
      </w:r>
    </w:p>
    <w:p>
      <w:pPr>
        <w:autoSpaceDN w:val="0"/>
        <w:autoSpaceDE w:val="0"/>
        <w:widowControl/>
        <w:spacing w:line="235" w:lineRule="auto" w:before="496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in the proviso to subsection (4) thereof-</w:t>
      </w:r>
    </w:p>
    <w:p>
      <w:pPr>
        <w:autoSpaceDN w:val="0"/>
        <w:tabs>
          <w:tab w:pos="2098" w:val="left"/>
          <w:tab w:pos="2404" w:val="left"/>
        </w:tabs>
        <w:autoSpaceDE w:val="0"/>
        <w:widowControl/>
        <w:spacing w:line="252" w:lineRule="auto" w:before="26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by the substitution for the words “any existing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generation plant that is being developed:”,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“any existing generation plant that is being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developed or to be developed:-”; and</w:t>
      </w:r>
    </w:p>
    <w:p>
      <w:pPr>
        <w:autoSpaceDN w:val="0"/>
        <w:autoSpaceDE w:val="0"/>
        <w:widowControl/>
        <w:spacing w:line="250" w:lineRule="auto" w:before="264" w:after="200"/>
        <w:ind w:left="2404" w:right="2516" w:hanging="30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 by the substitution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words “to be operated at least cost;”, of the words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“to be operated at least cost; or”.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2.0" w:type="dxa"/>
      </w:tblPr>
      <w:tblGrid>
        <w:gridCol w:w="4510"/>
        <w:gridCol w:w="4510"/>
      </w:tblGrid>
      <w:tr>
        <w:trPr>
          <w:trHeight w:hRule="exact" w:val="9470"/>
        </w:trPr>
        <w:tc>
          <w:tcPr>
            <w:tcW w:type="dxa" w:w="460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2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Sri Lanka Electricity (Amendment)</w:t>
            </w:r>
          </w:p>
        </w:tc>
        <w:tc>
          <w:tcPr>
            <w:tcW w:type="dxa" w:w="164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10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8" w:lineRule="auto" w:before="66" w:after="0"/>
        <w:ind w:left="0" w:right="338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