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280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22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24" w:after="0"/>
        <w:ind w:left="2592" w:right="2736" w:firstLine="0"/>
        <w:jc w:val="center"/>
      </w:pPr>
      <w:r>
        <w:rPr>
          <w:rFonts w:ascii="Times" w:hAnsi="Times" w:eastAsia="Times"/>
          <w:b/>
          <w:i w:val="0"/>
          <w:color w:val="221F1F"/>
          <w:sz w:val="28"/>
        </w:rPr>
        <w:t xml:space="preserve">SAWEERA FOUNDATION </w:t>
      </w:r>
      <w:r>
        <w:br/>
      </w:r>
      <w:r>
        <w:rPr>
          <w:rFonts w:ascii="Times" w:hAnsi="Times" w:eastAsia="Times"/>
          <w:b/>
          <w:i w:val="0"/>
          <w:color w:val="221F1F"/>
          <w:sz w:val="28"/>
        </w:rPr>
        <w:t>(INCORPORATION)</w:t>
      </w:r>
    </w:p>
    <w:p>
      <w:pPr>
        <w:autoSpaceDN w:val="0"/>
        <w:autoSpaceDE w:val="0"/>
        <w:widowControl/>
        <w:spacing w:line="238" w:lineRule="auto" w:before="226" w:after="0"/>
        <w:ind w:left="0" w:right="447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88" w:after="0"/>
        <w:ind w:left="0" w:right="42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338" w:after="0"/>
        <w:ind w:left="0" w:right="2898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to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incorporate the </w:t>
      </w:r>
      <w:r>
        <w:rPr>
          <w:rFonts w:ascii="Times" w:hAnsi="Times" w:eastAsia="Times"/>
          <w:b/>
          <w:i w:val="0"/>
          <w:color w:val="221F1F"/>
          <w:sz w:val="20"/>
        </w:rPr>
        <w:t>Saweera Foundation</w:t>
      </w:r>
    </w:p>
    <w:p>
      <w:pPr>
        <w:autoSpaceDN w:val="0"/>
        <w:autoSpaceDE w:val="0"/>
        <w:widowControl/>
        <w:spacing w:line="235" w:lineRule="auto" w:before="24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20" w:after="0"/>
        <w:ind w:left="2448" w:right="2448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Presented by Hon. (Major) Pradeep Undugoda,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M. P. for Colombo District on 10th of June, 2022</w:t>
      </w:r>
    </w:p>
    <w:p>
      <w:pPr>
        <w:autoSpaceDN w:val="0"/>
        <w:autoSpaceDE w:val="0"/>
        <w:widowControl/>
        <w:spacing w:line="235" w:lineRule="auto" w:before="254" w:after="0"/>
        <w:ind w:left="0" w:right="27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May 04, 2022)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288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330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121]</w:t>
      </w:r>
    </w:p>
    <w:p>
      <w:pPr>
        <w:autoSpaceDN w:val="0"/>
        <w:tabs>
          <w:tab w:pos="2412" w:val="left"/>
          <w:tab w:pos="2638" w:val="left"/>
          <w:tab w:pos="5984" w:val="left"/>
        </w:tabs>
        <w:autoSpaceDE w:val="0"/>
        <w:widowControl/>
        <w:spacing w:line="254" w:lineRule="auto" w:before="90" w:after="0"/>
        <w:ind w:left="1344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06" w:after="0"/>
        <w:ind w:left="134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0"/>
        <w:gridCol w:w="4510"/>
      </w:tblGrid>
      <w:tr>
        <w:trPr>
          <w:trHeight w:hRule="exact" w:val="324"/>
        </w:trPr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36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Saweera Foundation (Incorporation)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6" w:after="0"/>
        <w:ind w:left="0" w:right="28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S</w:t>
      </w:r>
      <w:r>
        <w:rPr>
          <w:rFonts w:ascii="Times" w:hAnsi="Times" w:eastAsia="Times"/>
          <w:b w:val="0"/>
          <w:i w:val="0"/>
          <w:color w:val="221F1F"/>
          <w:sz w:val="14"/>
        </w:rPr>
        <w:t>AWEERA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p>
      <w:pPr>
        <w:autoSpaceDN w:val="0"/>
        <w:tabs>
          <w:tab w:pos="1798" w:val="left"/>
          <w:tab w:pos="6736" w:val="left"/>
        </w:tabs>
        <w:autoSpaceDE w:val="0"/>
        <w:widowControl/>
        <w:spacing w:line="252" w:lineRule="auto" w:before="266" w:after="0"/>
        <w:ind w:left="1512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Centre called and known as the “Saweera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Foundation” has heretofore been formed in Sri Lanka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effectually carrying out its objects and transacting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matters  connected with the said foundation according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rules agreed to by its members:</w:t>
      </w:r>
    </w:p>
    <w:p>
      <w:pPr>
        <w:autoSpaceDN w:val="0"/>
        <w:autoSpaceDE w:val="0"/>
        <w:widowControl/>
        <w:spacing w:line="252" w:lineRule="auto" w:before="266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established, and has applied to </w:t>
      </w:r>
      <w:r>
        <w:rPr>
          <w:rFonts w:ascii="Times" w:hAnsi="Times" w:eastAsia="Times"/>
          <w:b w:val="0"/>
          <w:i w:val="0"/>
          <w:color w:val="221F1F"/>
          <w:sz w:val="20"/>
        </w:rPr>
        <w:t>be  incorporated, and it will be expedient to grant the said</w:t>
      </w:r>
    </w:p>
    <w:p>
      <w:pPr>
        <w:autoSpaceDN w:val="0"/>
        <w:tabs>
          <w:tab w:pos="1798" w:val="left"/>
        </w:tabs>
        <w:autoSpaceDE w:val="0"/>
        <w:widowControl/>
        <w:spacing w:line="262" w:lineRule="auto" w:before="18" w:after="0"/>
        <w:ind w:left="146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application:</w:t>
      </w:r>
    </w:p>
    <w:p>
      <w:pPr>
        <w:autoSpaceDN w:val="0"/>
        <w:autoSpaceDE w:val="0"/>
        <w:widowControl/>
        <w:spacing w:line="247" w:lineRule="auto" w:before="242" w:after="20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therefore,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Saweera Foundation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8" w:after="20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(Incorporation) Act, No.   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of this Act,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 Saweera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Saweera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Foundation (hereinafter referred to as the “Foundation”)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hereafter be admitted as members of the Corporation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8" w:after="20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hereby constituted, shall be a body corporate with perpetual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succession, under the name and style of the “Saweera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Foundation” (hereinafter referred to as the “Body corporate”)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by that name may sue and be sued, in all Courts with full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and  authority to have and use a common seal and alter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same at its pleasure.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5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general objects for which the body in corporate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constituted are hereby declared to be—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conduct courses , lectures and seminars to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518" w:val="left"/>
        </w:tabs>
        <w:autoSpaceDE w:val="0"/>
        <w:widowControl/>
        <w:spacing w:line="254" w:lineRule="auto" w:before="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encourage self- employment among the community,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directing them to jobs and providing them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necessary training and support;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32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Saweera Foundation (Incorporation)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conduct specific skills development programmes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workshops for school leavers and employed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youths with a view to enhancing leadership skills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personality development in young men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women;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supply sanitary facilities, water and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infrastructure to households of people living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poverty.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In the implementation of the objects specified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 the Body corporate shall ensure that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implementation shall be carried out without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discrimination based on race, religion, language, caste, sex,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political opinion, place of birth or any of such grounds.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16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objects of the body corporate shall be carried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out in such manner so as not to create any conflict between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 to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ensure no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work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any work being carried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conflict with</w:t>
            </w:r>
          </w:p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out simultaneously by any Ministry or Department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work of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or any Provincial Council.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Ministry or</w:t>
            </w:r>
          </w:p>
        </w:tc>
      </w:tr>
    </w:tbl>
    <w:p>
      <w:pPr>
        <w:autoSpaceDN w:val="0"/>
        <w:autoSpaceDE w:val="0"/>
        <w:widowControl/>
        <w:spacing w:line="247" w:lineRule="auto" w:before="4" w:after="280"/>
        <w:ind w:left="6622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Central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Government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or Province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Subject to the provisions of this Act Management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affairs of the body corporate shall be carried out by a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body</w:t>
            </w:r>
          </w:p>
        </w:tc>
      </w:tr>
      <w:tr>
        <w:trPr>
          <w:trHeight w:hRule="exact" w:val="1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Board of Management (hereinafter referred to as “the Board”)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consisting of such number of office bearers as may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specified by the rules made under section 7.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first Board of the Body corporate shall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or elected within one year of the date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commencement of 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Every office bearer of the Board including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patrons and advisors, shall be appointed or elected for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period of three years and any such office bearer, patron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advisor shall be eligible for re-appointment or re-election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after lapse of the said period of three years.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68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Saweera Foundation (Incorporation)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47" w:lineRule="auto" w:before="494" w:after="19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event of a vacancy occurring due to the death,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resignation, incapacity or removal from office of an office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bearer, the Board shall having regard to the rules of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>, elect or appoint a person to fill such vacancy.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person elected or appointed under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hold office only for the unexpired portion of the term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office of the member whom 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Body corporate shall have the power to do,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orporate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 and matters as necessary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desirable for the promotion or any one of them, including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power—</w:t>
      </w:r>
    </w:p>
    <w:p>
      <w:pPr>
        <w:autoSpaceDN w:val="0"/>
        <w:autoSpaceDE w:val="0"/>
        <w:widowControl/>
        <w:spacing w:line="245" w:lineRule="auto" w:before="254" w:after="6"/>
        <w:ind w:left="2398" w:right="2304" w:hanging="346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purchase, acquire, rent, construct, renovate and </w:t>
      </w:r>
      <w:r>
        <w:rPr>
          <w:rFonts w:ascii="Times" w:hAnsi="Times" w:eastAsia="Times"/>
          <w:b w:val="0"/>
          <w:i w:val="0"/>
          <w:color w:val="221F1F"/>
          <w:sz w:val="20"/>
        </w:rPr>
        <w:t>otherwise obtain lands or buildings which may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3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required for the purpose of the Body corporate and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deal with or dispose of the same as may be deemed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3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expedient with a view to promoting the objects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Body corporate;</w:t>
      </w:r>
    </w:p>
    <w:p>
      <w:pPr>
        <w:autoSpaceDN w:val="0"/>
        <w:tabs>
          <w:tab w:pos="2052" w:val="left"/>
          <w:tab w:pos="2398" w:val="left"/>
        </w:tabs>
        <w:autoSpaceDE w:val="0"/>
        <w:widowControl/>
        <w:spacing w:line="254" w:lineRule="auto" w:before="25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raise funds and receive grants, gifts or donations,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cash or kind with or without security:</w:t>
      </w:r>
    </w:p>
    <w:p>
      <w:pPr>
        <w:autoSpaceDN w:val="0"/>
        <w:autoSpaceDE w:val="0"/>
        <w:widowControl/>
        <w:spacing w:line="247" w:lineRule="auto" w:before="234" w:after="0"/>
        <w:ind w:left="2398" w:right="2422" w:firstLine="19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Board shall obtain the prior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approval of the Department of External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of the Ministry of the Minister assigned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subject of Finance, in respect of all foreign grants,</w:t>
      </w:r>
    </w:p>
    <w:p>
      <w:pPr>
        <w:autoSpaceDN w:val="0"/>
        <w:tabs>
          <w:tab w:pos="2398" w:val="left"/>
        </w:tabs>
        <w:autoSpaceDE w:val="0"/>
        <w:widowControl/>
        <w:spacing w:line="266" w:lineRule="auto" w:before="14" w:after="0"/>
        <w:ind w:left="14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gifts or donations made to the Body corporate;</w:t>
      </w:r>
    </w:p>
    <w:p>
      <w:pPr>
        <w:autoSpaceDN w:val="0"/>
        <w:autoSpaceDE w:val="0"/>
        <w:widowControl/>
        <w:spacing w:line="247" w:lineRule="auto" w:before="224" w:after="194"/>
        <w:ind w:left="2398" w:right="2422" w:hanging="33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make, draw, accept, discount, endorse, negotiate,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buy, sell and issue bills of exchange, cheques,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promissory notes and other negotiable instruments </w:t>
      </w:r>
      <w:r>
        <w:rPr>
          <w:rFonts w:ascii="Times" w:hAnsi="Times" w:eastAsia="Times"/>
          <w:b w:val="0"/>
          <w:i w:val="0"/>
          <w:color w:val="221F1F"/>
          <w:sz w:val="20"/>
        </w:rPr>
        <w:t>and to open, operate and close accounts in any banks;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58" w:right="1152" w:hanging="346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 to invest any funds not immediately required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purposes of the Body corporate in such manner as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5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Board may determine;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8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Saweera Foundation (Incorporation)</w:t>
      </w:r>
    </w:p>
    <w:p>
      <w:pPr>
        <w:autoSpaceDN w:val="0"/>
        <w:autoSpaceDE w:val="0"/>
        <w:widowControl/>
        <w:spacing w:line="250" w:lineRule="auto" w:before="500" w:after="0"/>
        <w:ind w:left="2302" w:right="251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undertake, accept, execute, perform and administer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lawful trust or any real or personal property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view to promoting the objects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p>
      <w:pPr>
        <w:autoSpaceDN w:val="0"/>
        <w:tabs>
          <w:tab w:pos="2002" w:val="left"/>
          <w:tab w:pos="2302" w:val="left"/>
        </w:tabs>
        <w:autoSpaceDE w:val="0"/>
        <w:widowControl/>
        <w:spacing w:line="252" w:lineRule="auto" w:before="250" w:after="0"/>
        <w:ind w:left="14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appoint, employ, dismiss or terminate the services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officers and servants of the body corporate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disciplinary control over them and to pay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them such salaries, allowances and gratuities as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determined by the Body corporate;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47" w:lineRule="auto" w:before="256" w:after="198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do all other things as are necessary or expedient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proper and effective carrying out the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Body corporate, from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to time, at any general meeting and by the votes of not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orporate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less than two thirds of the members present and voting, to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make rules, not inconsistent with the provisions of this Act or </w:t>
      </w:r>
      <w:r>
        <w:rPr>
          <w:rFonts w:ascii="Times" w:hAnsi="Times" w:eastAsia="Times"/>
          <w:b w:val="0"/>
          <w:i w:val="0"/>
          <w:color w:val="221F1F"/>
          <w:sz w:val="20"/>
        </w:rPr>
        <w:t>any other written law, for all or any of the following matters:–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8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classification of membership,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withdrawal, expulsion or resignation of members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fees payable by members;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of office bearers of the Board or</w:t>
            </w:r>
          </w:p>
        </w:tc>
      </w:tr>
    </w:tbl>
    <w:p>
      <w:pPr>
        <w:autoSpaceDN w:val="0"/>
        <w:autoSpaceDE w:val="0"/>
        <w:widowControl/>
        <w:spacing w:line="247" w:lineRule="auto" w:before="8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vacation of or removal from office of office bearers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powers, duties and functions of the office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bearers;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terms and conditions of appointment, powers,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and duties of the various officers, agents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servants of the Body corporate;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8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procedure to be followed at the summoning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holding of meetings of the Board, or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sub-committee thereof, notices and agenda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meetings, the quorum and the conduct of business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59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thereat;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3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Saweera Foundation (Incorporation)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Register of</w:t>
            </w:r>
          </w:p>
        </w:tc>
      </w:tr>
      <w:tr>
        <w:trPr>
          <w:trHeight w:hRule="exact" w:val="476"/>
        </w:trPr>
        <w:tc>
          <w:tcPr>
            <w:tcW w:type="dxa" w:w="1804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qualification and disqualification to be a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 of the Board and the Body corporate;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administration and management of the property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corporate;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management of the affairs of the Body corporate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3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accomplishment of its’ objects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dissolution of the body corporate.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804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rules made by the Body corporate may be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altered, added to or rescinded at a like meeting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in like manner as a rule made under subsection (1).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46"/>
        </w:trPr>
        <w:tc>
          <w:tcPr>
            <w:tcW w:type="dxa" w:w="1804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members of the Body corporate shall at all time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9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subject to rules of the Body corporate.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rules made under this section shall be published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Government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1804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17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Board shall maintain a register of members in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name, address and other essential details of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</w:tr>
      <w:tr>
        <w:trPr>
          <w:trHeight w:hRule="exact" w:val="20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be inscribed.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Funds of the</w:t>
            </w:r>
          </w:p>
        </w:tc>
      </w:tr>
      <w:tr>
        <w:trPr>
          <w:trHeight w:hRule="exact" w:val="132"/>
        </w:trPr>
        <w:tc>
          <w:tcPr>
            <w:tcW w:type="dxa" w:w="1804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17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Body corporate shall have its own Fund.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7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All moneys received by way of gift, bequest, donation,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subscription, contribution, fees or grants for an account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Body corporate shall be deposited in one or more Banks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approved by the Board to the credit of the Corporation.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5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and</w:t>
            </w:r>
          </w:p>
        </w:tc>
      </w:tr>
      <w:tr>
        <w:trPr>
          <w:trHeight w:hRule="exact" w:val="33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There shall be paid out of the Fund, all sums of money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are required to defray any expenditure incurred by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 in the exercise, performance and discharge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its power, duties and functions under the Act.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804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7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Body corporate shall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Auditing</w:t>
            </w:r>
          </w:p>
        </w:tc>
      </w:tr>
      <w:tr>
        <w:trPr>
          <w:trHeight w:hRule="exact" w:val="33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the calendar year.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Body corporate shall cause proper accounts to be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kept of income and expenditure, assets and liabilities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other transactions of the Body corporate.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8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Saweera Foundation (Incorporation)</w:t>
      </w:r>
    </w:p>
    <w:p>
      <w:pPr>
        <w:autoSpaceDN w:val="0"/>
        <w:autoSpaceDE w:val="0"/>
        <w:widowControl/>
        <w:spacing w:line="254" w:lineRule="auto" w:before="50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Body corporate shall be audited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qualified auditor appointed by Auditor General in terms </w:t>
      </w:r>
      <w:r>
        <w:rPr>
          <w:rFonts w:ascii="Times" w:hAnsi="Times" w:eastAsia="Times"/>
          <w:b w:val="0"/>
          <w:i w:val="0"/>
          <w:color w:val="221F1F"/>
          <w:sz w:val="20"/>
        </w:rPr>
        <w:t>of Article 154 of the Constitution.</w:t>
      </w:r>
    </w:p>
    <w:p>
      <w:pPr>
        <w:autoSpaceDN w:val="0"/>
        <w:autoSpaceDE w:val="0"/>
        <w:widowControl/>
        <w:spacing w:line="238" w:lineRule="auto" w:before="282" w:after="1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For the purpose of this section “qualified auditor”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7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means—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2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individual who being a member of the</w:t>
            </w:r>
          </w:p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782" w:val="left"/>
        </w:tabs>
        <w:autoSpaceDE w:val="0"/>
        <w:widowControl/>
        <w:spacing w:line="259" w:lineRule="auto" w:before="14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institute established by law,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 issued by  the Council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Institute; or</w:t>
      </w:r>
    </w:p>
    <w:p>
      <w:pPr>
        <w:autoSpaceDN w:val="0"/>
        <w:tabs>
          <w:tab w:pos="2386" w:val="left"/>
          <w:tab w:pos="2782" w:val="left"/>
          <w:tab w:pos="2792" w:val="left"/>
        </w:tabs>
        <w:autoSpaceDE w:val="0"/>
        <w:widowControl/>
        <w:spacing w:line="262" w:lineRule="auto" w:before="280" w:after="222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firm of Accountants each of the resident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 of which being a member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of any other institute established by law,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 issued by the Council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Board shall prepare a report of the activities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Annual</w:t>
            </w:r>
          </w:p>
        </w:tc>
      </w:tr>
      <w:tr>
        <w:trPr>
          <w:trHeight w:hRule="exact" w:val="27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 for each financial year and submit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62" w:lineRule="auto" w:before="12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report together with the audited statement of accounts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Secretary of the Ministry of the Minister assigned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of Social Services and to the Registrar of Voluntary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Services Organizations appointed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Voluntary Social Services Organization (Registration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Supervision) Act, No. 31 of 1980 before the expiration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six months of the year succeeding the year to which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report relates.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separate account relating to the foreign and local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moneys received by the Body corporate during the financial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 shall be attached to the report referred to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6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Saweera Foundation (Incorporation)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Debts due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payable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 Centre</w:t>
            </w:r>
          </w:p>
        </w:tc>
      </w:tr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Foundation existing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10"/>
        </w:trPr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the day preceding the date of commencement of this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by the Body corporate hereby constituted,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0" w:lineRule="auto" w:before="10" w:after="204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debts due to, and subscriptions and contributions payable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Centre on that day shall be paid to the Body corporate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 of this Act, the Body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shall be able and capable in law, to take and hold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movable or immovable which may become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vested in it by virtue of any purchase, grant, gift, testamentary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disposition or otherwise, and all such property shall be held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</w:tbl>
    <w:p>
      <w:pPr>
        <w:autoSpaceDN w:val="0"/>
        <w:autoSpaceDE w:val="0"/>
        <w:widowControl/>
        <w:spacing w:line="250" w:lineRule="auto" w:before="10" w:after="1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Body corporate for the purposes of this Act,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the rules of the Body corporate  made under section </w:t>
      </w:r>
      <w:r>
        <w:rPr>
          <w:rFonts w:ascii="Times" w:hAnsi="Times" w:eastAsia="Times"/>
          <w:b w:val="0"/>
          <w:i w:val="0"/>
          <w:color w:val="221F1F"/>
          <w:sz w:val="20"/>
        </w:rPr>
        <w:t>7, with power to sell, mortgage, lease, exchange or otherwise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dispose of the same.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36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moneys and property of the Body corporate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however derived shall be applied solely towards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 money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and property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promotion of the objects of the Body corporate and no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0" w:lineRule="auto" w:before="10" w:after="206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portion thereof shall be paid or transferred directly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indirectly by way of dividend, bonus or profit to the members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Body corporate shall not be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affixed to any instrument whatsoever, except in the presence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two members of the Board who shall sign their names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instrument in token of their presence and such signing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shall be independent of the signing of any person as a witness.</w:t>
      </w:r>
    </w:p>
    <w:p>
      <w:pPr>
        <w:autoSpaceDN w:val="0"/>
        <w:autoSpaceDE w:val="0"/>
        <w:widowControl/>
        <w:spacing w:line="250" w:lineRule="auto" w:before="266" w:after="18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Body corporate shall be in the custody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office bearer of the Board as may be decided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upon the dissolution of the Body corporate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 remains after the satisfaction of all its debts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remaining 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dissolution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liabilities, any property whatsoever, such property shall not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 distributed among the members of the Body corporate,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8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Saweera Foundation (Incorporation)</w:t>
      </w:r>
    </w:p>
    <w:p>
      <w:pPr>
        <w:autoSpaceDN w:val="0"/>
        <w:autoSpaceDE w:val="0"/>
        <w:widowControl/>
        <w:spacing w:line="245" w:lineRule="auto" w:before="488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but shall be given or transferred to any other institution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objects similar to those of the Body corporate,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 by the rules thereof prohibited from distributing </w:t>
      </w:r>
      <w:r>
        <w:rPr>
          <w:rFonts w:ascii="Times" w:hAnsi="Times" w:eastAsia="Times"/>
          <w:b w:val="0"/>
          <w:i w:val="0"/>
          <w:color w:val="221F1F"/>
          <w:sz w:val="20"/>
        </w:rPr>
        <w:t>any income or property among its  members.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2" w:after="198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 of this subsection (1) the appropriate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shall be determined by the members of the Body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immediately before the dissolution at a general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meeting by the majority of votes of the members present.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anybody politic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 and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2"/>
        <w:ind w:left="0" w:right="0"/>
      </w:pPr>
    </w:p>
    <w:p>
      <w:pPr>
        <w:autoSpaceDN w:val="0"/>
        <w:autoSpaceDE w:val="0"/>
        <w:widowControl/>
        <w:spacing w:line="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6.0000000000002" w:type="dxa"/>
      </w:tblPr>
      <w:tblGrid>
        <w:gridCol w:w="4510"/>
        <w:gridCol w:w="4510"/>
      </w:tblGrid>
      <w:tr>
        <w:trPr>
          <w:trHeight w:hRule="exact" w:val="9430"/>
        </w:trPr>
        <w:tc>
          <w:tcPr>
            <w:tcW w:type="dxa" w:w="466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36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Saweera Foundation (Incorporation)</w:t>
            </w:r>
          </w:p>
        </w:tc>
        <w:tc>
          <w:tcPr>
            <w:tcW w:type="dxa" w:w="158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35" w:lineRule="auto" w:before="28" w:after="0"/>
        <w:ind w:left="0" w:right="337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