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36" w:after="0"/>
        <w:ind w:left="2304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CODE OF CRIMINAL PROCEDURE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8" w:lineRule="auto" w:before="34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6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Code of Criminal Procedure Act, No. 15 of 1979</w:t>
      </w:r>
    </w:p>
    <w:p>
      <w:pPr>
        <w:autoSpaceDN w:val="0"/>
        <w:autoSpaceDE w:val="0"/>
        <w:widowControl/>
        <w:spacing w:line="238" w:lineRule="auto" w:before="2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8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21st of June, 2022</w:t>
      </w:r>
    </w:p>
    <w:p>
      <w:pPr>
        <w:autoSpaceDN w:val="0"/>
        <w:autoSpaceDE w:val="0"/>
        <w:widowControl/>
        <w:spacing w:line="235" w:lineRule="auto" w:before="254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March 31,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8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122]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7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436" w:right="1342" w:firstLine="26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281 of the Code of Criminal Procedure Act, No. 15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1979 (hereinafter referred to as the “principal enactment”) and the legal effect of the amendment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to make provision for the court to pronounce the sentence as provided for in section 53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Penal Code (Chapter 19) in respect of a person who is under the age of eighteen years, at the </w:t>
      </w:r>
      <w:r>
        <w:rPr>
          <w:rFonts w:ascii="Times" w:hAnsi="Times" w:eastAsia="Times"/>
          <w:b w:val="0"/>
          <w:i w:val="0"/>
          <w:color w:val="000000"/>
          <w:sz w:val="16"/>
        </w:rPr>
        <w:t>time of commission by such person of an offence punishable by death.</w:t>
      </w:r>
    </w:p>
    <w:p>
      <w:pPr>
        <w:autoSpaceDN w:val="0"/>
        <w:tabs>
          <w:tab w:pos="1698" w:val="left"/>
        </w:tabs>
        <w:autoSpaceDE w:val="0"/>
        <w:widowControl/>
        <w:spacing w:line="245" w:lineRule="auto" w:before="202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286 of the principal enactment and is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by clause 4.</w:t>
      </w:r>
    </w:p>
    <w:p>
      <w:pPr>
        <w:autoSpaceDN w:val="0"/>
        <w:autoSpaceDE w:val="0"/>
        <w:widowControl/>
        <w:spacing w:line="247" w:lineRule="auto" w:before="202" w:after="0"/>
        <w:ind w:left="1436" w:right="1342" w:firstLine="262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288 of the principal enactment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amendment is to make provision to detain any person sentenced under section 53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Penal Code (Chapter 19) in an institution established under any written law for the detention of </w:t>
      </w:r>
      <w:r>
        <w:rPr>
          <w:rFonts w:ascii="Times" w:hAnsi="Times" w:eastAsia="Times"/>
          <w:b w:val="0"/>
          <w:i w:val="0"/>
          <w:color w:val="000000"/>
          <w:sz w:val="16"/>
        </w:rPr>
        <w:t>persons under the age of eighteen years.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30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78" w:lineRule="auto" w:before="41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80/2021</w:t>
      </w:r>
    </w:p>
    <w:p>
      <w:pPr>
        <w:autoSpaceDN w:val="0"/>
        <w:autoSpaceDE w:val="0"/>
        <w:widowControl/>
        <w:spacing w:line="278" w:lineRule="auto" w:before="270" w:after="0"/>
        <w:ind w:left="2160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RIMINAL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ROCEDURE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78" w:lineRule="auto" w:before="270" w:after="21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Code of Criminal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(Amendment) Act, No.      of 2022.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3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281 of the Code of Criminal Procedure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1979 (hereinafter referred to as the “principal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281 of Act,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57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words, “appears to the court to be under the age of eighteen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1979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years,” of the words “is under the age of eighteen years,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time of the commission of such offence by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3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person,”.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5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13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and figures, “In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286 of the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section and in section 288 the expression”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“In this section the expression”.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16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27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288 of the principal enactment is hereby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288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7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“Execution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sentences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Penal Code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19)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40" w:after="0"/>
              <w:ind w:left="11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288. When any person has been sentenced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53 of the Penal Code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19), such person shall be detained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institution established under any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detention of persons under the age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936" w:val="left"/>
        </w:tabs>
        <w:autoSpaceDE w:val="0"/>
        <w:widowControl/>
        <w:spacing w:line="281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eighteen years, for a period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sentence and subject to the provisions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law.”.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2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2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102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232" w:after="0"/>
              <w:ind w:left="864" w:right="0" w:firstLine="19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92"/>
        <w:ind w:left="0" w:right="0"/>
      </w:pPr>
    </w:p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64"/>
        </w:trPr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Code of Criminal Procedure (Amendment)</w:t>
            </w:r>
          </w:p>
        </w:tc>
        <w:tc>
          <w:tcPr>
            <w:tcW w:type="dxa" w:w="1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78" w:lineRule="auto" w:before="9098" w:after="0"/>
        <w:ind w:left="0" w:right="32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