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36" w:after="0"/>
        <w:ind w:left="2304" w:right="2448" w:firstLine="0"/>
        <w:jc w:val="center"/>
      </w:pPr>
      <w:r>
        <w:rPr>
          <w:rFonts w:ascii="Times" w:hAnsi="Times" w:eastAsia="Times"/>
          <w:b/>
          <w:i w:val="0"/>
          <w:color w:val="221F1F"/>
          <w:sz w:val="26"/>
        </w:rPr>
        <w:t xml:space="preserve">LOCAL  AUTHORITIES  ELECTIONS </w:t>
      </w:r>
      <w:r>
        <w:br/>
      </w:r>
      <w:r>
        <w:rPr>
          <w:rFonts w:ascii="Times" w:hAnsi="Times" w:eastAsia="Times"/>
          <w:b/>
          <w:i w:val="0"/>
          <w:color w:val="221F1F"/>
          <w:sz w:val="26"/>
        </w:rPr>
        <w:t>(AMENDMENT)</w:t>
      </w:r>
    </w:p>
    <w:p>
      <w:pPr>
        <w:autoSpaceDN w:val="0"/>
        <w:autoSpaceDE w:val="0"/>
        <w:widowControl/>
        <w:spacing w:line="238" w:lineRule="auto" w:before="346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6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0" w:lineRule="auto" w:before="390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>to amend the Local Authorities Elections Ordinance No. 53 of 1946</w:t>
      </w:r>
    </w:p>
    <w:p>
      <w:pPr>
        <w:autoSpaceDN w:val="0"/>
        <w:autoSpaceDE w:val="0"/>
        <w:widowControl/>
        <w:spacing w:line="238" w:lineRule="auto" w:before="27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58" w:after="0"/>
        <w:ind w:left="2448" w:right="2592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Hon. Imthiaz Bakeer Markar, M.P.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on 06th of July, 2022</w:t>
      </w:r>
    </w:p>
    <w:p>
      <w:pPr>
        <w:autoSpaceDN w:val="0"/>
        <w:autoSpaceDE w:val="0"/>
        <w:widowControl/>
        <w:spacing w:line="235" w:lineRule="auto" w:before="254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02,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72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8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126]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4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40" w:after="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OCAL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UTHORITIES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LECTIONS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53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1946</w:t>
      </w:r>
    </w:p>
    <w:p>
      <w:pPr>
        <w:autoSpaceDN w:val="0"/>
        <w:autoSpaceDE w:val="0"/>
        <w:widowControl/>
        <w:spacing w:line="250" w:lineRule="auto" w:before="276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Local Authorities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8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inserted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section 28 (8)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Local Authorities Elections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28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Local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Ordinance No. 53 of 1946 and shall have effect as section 28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Authorities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(9) in the Principal Enactment:—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</w:tbl>
    <w:p>
      <w:pPr>
        <w:autoSpaceDN w:val="0"/>
        <w:autoSpaceDE w:val="0"/>
        <w:widowControl/>
        <w:spacing w:line="238" w:lineRule="auto" w:before="56" w:after="12"/>
        <w:ind w:left="19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“28 (9)(1) When submitting a nomination paper each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political party and independent group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ensure that not less than one fourth of the total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candidates to be nominated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authority, and not less than one fourth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total number of candidates in the district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list, shall be youth candidates.</w:t>
      </w:r>
    </w:p>
    <w:p>
      <w:pPr>
        <w:autoSpaceDN w:val="0"/>
        <w:autoSpaceDE w:val="0"/>
        <w:widowControl/>
        <w:spacing w:line="257" w:lineRule="auto" w:before="276" w:after="0"/>
        <w:ind w:left="287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 of Elections shall by notice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Gazette, specify the number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youth candidates to be nominated in respect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each local authority.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62" w:lineRule="auto" w:before="26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purposes of this Clause a youth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defined as an individual either male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female of 35 years of age or less on the day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calling of elections by the elections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59" w:lineRule="auto" w:before="2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of a failure by a political party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 the required condition set our above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clause 28 (9) (1) with regard to the youth quota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nominations such nomination paper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8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Local Authorities Elections (Amendment)</w:t>
      </w:r>
    </w:p>
    <w:p>
      <w:pPr>
        <w:autoSpaceDN w:val="0"/>
        <w:autoSpaceDE w:val="0"/>
        <w:widowControl/>
        <w:spacing w:line="235" w:lineRule="auto" w:before="49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deemed to be </w:t>
      </w:r>
      <w:r>
        <w:rPr>
          <w:rFonts w:ascii="Times" w:hAnsi="Times" w:eastAsia="Times"/>
          <w:b w:val="0"/>
          <w:i/>
          <w:color w:val="000000"/>
          <w:sz w:val="20"/>
        </w:rPr>
        <w:t>null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>void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</w:t>
      </w:r>
    </w:p>
    <w:p>
      <w:pPr>
        <w:autoSpaceDN w:val="0"/>
        <w:autoSpaceDE w:val="0"/>
        <w:widowControl/>
        <w:spacing w:line="238" w:lineRule="auto" w:before="20" w:after="196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rejected by the Returning Officer.”.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7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368"/>
        </w:trPr>
        <w:tc>
          <w:tcPr>
            <w:tcW w:type="dxa" w:w="5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7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Local Authorities Elections (Amendment)</w:t>
            </w:r>
          </w:p>
        </w:tc>
        <w:tc>
          <w:tcPr>
            <w:tcW w:type="dxa" w:w="150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36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