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24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08, 2022</w:t>
      </w:r>
    </w:p>
    <w:p>
      <w:pPr>
        <w:autoSpaceDN w:val="0"/>
        <w:autoSpaceDE w:val="0"/>
        <w:widowControl/>
        <w:spacing w:line="238" w:lineRule="auto" w:before="322" w:after="0"/>
        <w:ind w:left="0" w:right="357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24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11.07.2022)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48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SIYANE KATIKAWA NALAKA GODAHEWA </w:t>
      </w:r>
      <w:r>
        <w:rPr>
          <w:rFonts w:ascii="Times" w:hAnsi="Times" w:eastAsia="Times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238" w:lineRule="auto" w:before="192" w:after="0"/>
        <w:ind w:left="0" w:right="346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20" w:after="0"/>
        <w:ind w:left="171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incorporate the Siyane Katikawa Nalaka Godahewa Foundation</w:t>
      </w:r>
    </w:p>
    <w:p>
      <w:pPr>
        <w:autoSpaceDN w:val="0"/>
        <w:autoSpaceDE w:val="0"/>
        <w:widowControl/>
        <w:spacing w:line="245" w:lineRule="auto" w:before="168" w:after="0"/>
        <w:ind w:left="1728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Premnath C. Dolawatte, M.P. </w:t>
      </w:r>
      <w:r>
        <w:rPr>
          <w:rFonts w:ascii="Times" w:hAnsi="Times" w:eastAsia="Times"/>
          <w:b w:val="0"/>
          <w:i/>
          <w:color w:val="221F1F"/>
          <w:sz w:val="20"/>
        </w:rPr>
        <w:t>for  Colombo District</w:t>
      </w:r>
    </w:p>
    <w:p>
      <w:pPr>
        <w:autoSpaceDN w:val="0"/>
        <w:autoSpaceDE w:val="0"/>
        <w:widowControl/>
        <w:spacing w:line="245" w:lineRule="auto" w:before="17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Siyane Katikawa Nalaka Godahewa Foundation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IYANE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ATIKAWA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ALAKA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ODAHEWA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42" w:after="4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Society called and known as the “Siyane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Katikawa Nalaka Godahewa Foundation”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its objects and transacting all matters connected 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Foundation according to the rules agreed to by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1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expendient to grant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:</w:t>
      </w:r>
    </w:p>
    <w:p>
      <w:pPr>
        <w:autoSpaceDN w:val="0"/>
        <w:autoSpaceDE w:val="0"/>
        <w:widowControl/>
        <w:spacing w:line="245" w:lineRule="auto" w:before="240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Siyane Katikawa Nalaka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Godahewa Foundation (Incorporation) Act, No.    of  2022.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Siyane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Katikawa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Siyane Katikawa Nalaka Godahewa Foundation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Nalaka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“Foundation”) or shall hereafter be admitted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Godahewa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 hereby constituted,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perpetual succession, under the name and style </w:t>
      </w:r>
      <w:r>
        <w:rPr>
          <w:rFonts w:ascii="Times" w:hAnsi="Times" w:eastAsia="Times"/>
          <w:b w:val="0"/>
          <w:i w:val="0"/>
          <w:color w:val="221F1F"/>
          <w:sz w:val="20"/>
        </w:rPr>
        <w:t>of  the “Siyane Katikawa Nalaka Godahewa Foundation”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 referred to as the  “Body corporate”) and by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may sue and be sued, in all courts with full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have and  use a common seal and to  alter the same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  <w:tab w:pos="3466" w:val="left"/>
        </w:tabs>
        <w:autoSpaceDE w:val="0"/>
        <w:widowControl/>
        <w:spacing w:line="245" w:lineRule="auto" w:before="0" w:after="222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302" w:val="left"/>
          <w:tab w:pos="6622" w:val="left"/>
        </w:tabs>
        <w:autoSpaceDE w:val="0"/>
        <w:widowControl/>
        <w:spacing w:line="283" w:lineRule="auto" w:before="4" w:after="0"/>
        <w:ind w:left="1384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towards the creation of family units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fulfilled their basic needs, live in a secure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enviroment and appreciate culture, literature, Arts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sports;</w:t>
      </w:r>
    </w:p>
    <w:p>
      <w:pPr>
        <w:autoSpaceDN w:val="0"/>
        <w:autoSpaceDE w:val="0"/>
        <w:widowControl/>
        <w:spacing w:line="276" w:lineRule="auto" w:before="34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towards the creation of a 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enviroment where a citizen’s human rights and dignity </w:t>
      </w:r>
      <w:r>
        <w:rPr>
          <w:rFonts w:ascii="Times" w:hAnsi="Times" w:eastAsia="Times"/>
          <w:b w:val="0"/>
          <w:i w:val="0"/>
          <w:color w:val="221F1F"/>
          <w:sz w:val="20"/>
        </w:rPr>
        <w:t>are protected and justice is served; and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6" w:lineRule="auto" w:before="34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towards the creation of a society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disciplined and law abiding where citizens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help each other.</w:t>
      </w:r>
    </w:p>
    <w:p>
      <w:pPr>
        <w:autoSpaceDN w:val="0"/>
        <w:autoSpaceDE w:val="0"/>
        <w:widowControl/>
        <w:spacing w:line="266" w:lineRule="auto" w:before="340" w:after="0"/>
        <w:ind w:left="1702" w:right="2448" w:firstLine="4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sub-section (1) the body corporate shall ensure that such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58" w:after="28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Governemt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management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Management (hereinafter reffered to as “the Board”,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0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10"/>
        <w:ind w:left="1816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Management of the foundation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until the first Board is appointed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816" w:right="24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2" w:lineRule="auto" w:before="26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corporate, elect or appoint a person to fill such vacancy.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50" w:lineRule="auto" w:before="266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power —</w:t>
      </w:r>
    </w:p>
    <w:p>
      <w:pPr>
        <w:autoSpaceDN w:val="0"/>
        <w:tabs>
          <w:tab w:pos="2122" w:val="left"/>
          <w:tab w:pos="2536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Siyane Katikawa Nalaka Godahewa Foundation</w:t>
      </w:r>
    </w:p>
    <w:p>
      <w:pPr>
        <w:autoSpaceDN w:val="0"/>
        <w:autoSpaceDE w:val="0"/>
        <w:widowControl/>
        <w:spacing w:line="235" w:lineRule="auto" w:before="14" w:after="0"/>
        <w:ind w:left="0" w:right="4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raise funds and receive grants, gifts or</w:t>
      </w:r>
    </w:p>
    <w:p>
      <w:pPr>
        <w:autoSpaceDN w:val="0"/>
        <w:autoSpaceDE w:val="0"/>
        <w:widowControl/>
        <w:spacing w:line="238" w:lineRule="auto" w:before="0" w:after="13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donanation, in cash or kind with or without security: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Body corporate shall obtain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of the Ministry of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Finance, in respect of all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 made to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make, draw, accept, discount, endorse, negotiate,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 negotiable instruments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 and close accounts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not immediately required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the body corporate in such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Board may determine;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 or any real or personal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 dismiss or terminate the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officers and servants of the body corporate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them and to pay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salaries, allowances and gratuities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body corporate;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as are necessary or expedient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proper and effective carrying out the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two-thirds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not inconsistent with the provision of this 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for all or any 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classification of membership, admission,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 members;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0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 of the Board 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office-bearers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0" w:lineRule="auto" w:before="264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sub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 and disqualification to be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Board and the body corporate;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autoSpaceDE w:val="0"/>
        <w:widowControl/>
        <w:spacing w:line="250" w:lineRule="auto" w:before="26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made by the body corporation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or rescinded at a like meeting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like manner as a rule made under subsection (1).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6" w:after="20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  <w:tab w:pos="3466" w:val="left"/>
        </w:tabs>
        <w:autoSpaceDE w:val="0"/>
        <w:widowControl/>
        <w:spacing w:line="245" w:lineRule="auto" w:before="0" w:after="182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52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subsctiption, contribution, fees or grants for an account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body corporate.</w:t>
      </w:r>
    </w:p>
    <w:p>
      <w:pPr>
        <w:autoSpaceDN w:val="0"/>
        <w:autoSpaceDE w:val="0"/>
        <w:widowControl/>
        <w:spacing w:line="245" w:lineRule="auto" w:before="210" w:after="16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17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body corporate shall be audited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annually by the Auditor-Genearal or a qualified auditor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Auditor General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autoSpaceDE w:val="0"/>
        <w:widowControl/>
        <w:spacing w:line="235" w:lineRule="auto" w:before="23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—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other institute established by law,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 the Council of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5" w:lineRule="auto" w:before="230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of practice as an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Accountant, issued by the Council of such</w:t>
      </w:r>
    </w:p>
    <w:p>
      <w:pPr>
        <w:autoSpaceDN w:val="0"/>
        <w:autoSpaceDE w:val="0"/>
        <w:widowControl/>
        <w:spacing w:line="238" w:lineRule="auto" w:before="42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82"/>
        <w:ind w:left="220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Social Services and to the Registrar of Voluntary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Organizations appointed under the Voluntary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 (Registration and Supervision)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31 of 1980 before the expiration of six months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subscriptions and contributions payable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Foundation on that day shall be paid to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body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 to take and hold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body corporate for the purposes of this Act, and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rules of the body corporate made under section 7,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000000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to the members </w:t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  <w:tab w:pos="3466" w:val="left"/>
        </w:tabs>
        <w:autoSpaceDE w:val="0"/>
        <w:widowControl/>
        <w:spacing w:line="245" w:lineRule="auto" w:before="0" w:after="19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Siyane Katikawa Nalaka Godahewa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body corporate shall not be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affixed to any instrument whatsoever except in the presence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 two members of the Board  who shall sign their names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6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p>
      <w:pPr>
        <w:autoSpaceDN w:val="0"/>
        <w:autoSpaceDE w:val="0"/>
        <w:widowControl/>
        <w:spacing w:line="245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 similar to those of the body corporate, and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rules thereof, prohibited from distributing any income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property among its  members.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shall be determined by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immediately before the dissolution at a general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Siyane Katikawa Nalaka Godahewa Foundation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2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