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 15,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20.07.2022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12" w:after="0"/>
        <w:ind w:left="2160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SRI LANKA RUPAVAHINI CORPORATION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3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3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62" w:after="0"/>
        <w:ind w:left="17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Sri Lanka Rupavahini Corporation Act, No. 6 of 1982</w:t>
      </w:r>
    </w:p>
    <w:p>
      <w:pPr>
        <w:autoSpaceDN w:val="0"/>
        <w:autoSpaceDE w:val="0"/>
        <w:widowControl/>
        <w:spacing w:line="238" w:lineRule="auto" w:before="534" w:after="0"/>
        <w:ind w:left="0" w:right="22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Mass Media</w:t>
      </w:r>
    </w:p>
    <w:p>
      <w:pPr>
        <w:autoSpaceDN w:val="0"/>
        <w:autoSpaceDE w:val="0"/>
        <w:widowControl/>
        <w:spacing w:line="245" w:lineRule="auto" w:before="64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341" w:lineRule="auto" w:before="27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Sri Lanka Rupavahini Corporation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6 of 1982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change the constitution of the membership of the Sri Lanka </w:t>
      </w:r>
      <w:r>
        <w:rPr>
          <w:rFonts w:ascii="Times" w:hAnsi="Times" w:eastAsia="Times"/>
          <w:b w:val="0"/>
          <w:i w:val="0"/>
          <w:color w:val="000000"/>
          <w:sz w:val="16"/>
        </w:rPr>
        <w:t>Rupavahini Corporation by the addition of the following new members:-</w:t>
      </w:r>
    </w:p>
    <w:p>
      <w:pPr>
        <w:autoSpaceDN w:val="0"/>
        <w:tabs>
          <w:tab w:pos="2062" w:val="left"/>
        </w:tabs>
        <w:autoSpaceDE w:val="0"/>
        <w:widowControl/>
        <w:spacing w:line="307" w:lineRule="auto" w:before="394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Secretary to the Ministry of the Minister or an officer not below the rank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 Additional Secretary of that Ministry nominated by that Secretary; and</w:t>
      </w:r>
    </w:p>
    <w:p>
      <w:pPr>
        <w:autoSpaceDN w:val="0"/>
        <w:tabs>
          <w:tab w:pos="2062" w:val="left"/>
        </w:tabs>
        <w:autoSpaceDE w:val="0"/>
        <w:widowControl/>
        <w:spacing w:line="307" w:lineRule="auto" w:before="394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member who shall be a representative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assigned the subject of Finance nominated by such Minister.</w:t>
      </w:r>
    </w:p>
    <w:p>
      <w:pPr>
        <w:autoSpaceDN w:val="0"/>
        <w:autoSpaceDE w:val="0"/>
        <w:widowControl/>
        <w:spacing w:line="238" w:lineRule="auto" w:before="394" w:after="0"/>
        <w:ind w:left="158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section 32 of the principal enactment and the legal effect</w:t>
      </w:r>
    </w:p>
    <w:p>
      <w:pPr>
        <w:autoSpaceDN w:val="0"/>
        <w:autoSpaceDE w:val="0"/>
        <w:widowControl/>
        <w:spacing w:line="235" w:lineRule="auto" w:before="13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insert a new definition for the expression “Minister”.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Rupavahini Corporation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1/2020</w:t>
      </w:r>
    </w:p>
    <w:p>
      <w:pPr>
        <w:autoSpaceDN w:val="0"/>
        <w:autoSpaceDE w:val="0"/>
        <w:widowControl/>
        <w:spacing w:line="254" w:lineRule="auto" w:before="29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UPAVAHINI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No. 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1982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4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Rupavahini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32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(Amendment) Act, No.   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Sri Lanka Rupavahini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of 1982 (hereinafter referred to as the “principal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1982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subsection:-</w:t>
      </w:r>
    </w:p>
    <w:p>
      <w:pPr>
        <w:autoSpaceDN w:val="0"/>
        <w:tabs>
          <w:tab w:pos="2698" w:val="left"/>
          <w:tab w:pos="3058" w:val="left"/>
        </w:tabs>
        <w:autoSpaceDE w:val="0"/>
        <w:widowControl/>
        <w:spacing w:line="254" w:lineRule="auto" w:before="29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 –</w:t>
      </w:r>
    </w:p>
    <w:p>
      <w:pPr>
        <w:autoSpaceDN w:val="0"/>
        <w:tabs>
          <w:tab w:pos="3012" w:val="left"/>
          <w:tab w:pos="3418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 namely,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officer not below the rank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of that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Secretary;</w:t>
      </w:r>
    </w:p>
    <w:p>
      <w:pPr>
        <w:autoSpaceDN w:val="0"/>
        <w:tabs>
          <w:tab w:pos="3418" w:val="left"/>
        </w:tabs>
        <w:autoSpaceDE w:val="0"/>
        <w:widowControl/>
        <w:spacing w:line="259" w:lineRule="auto" w:before="294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members nominated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manner and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Minister:-</w:t>
      </w:r>
    </w:p>
    <w:p>
      <w:pPr>
        <w:autoSpaceDN w:val="0"/>
        <w:tabs>
          <w:tab w:pos="3518" w:val="left"/>
          <w:tab w:pos="3778" w:val="left"/>
        </w:tabs>
        <w:autoSpaceDE w:val="0"/>
        <w:widowControl/>
        <w:spacing w:line="264" w:lineRule="auto" w:before="29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one member who shall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nominated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48" w:val="left"/>
          <w:tab w:pos="356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Rupavahini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52" w:lineRule="auto" w:before="268" w:after="10"/>
        <w:ind w:left="3682" w:right="2516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one member who shall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8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nominated by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who shall be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representative of the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Broadcasting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Broadcasting Corporation Act,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1966,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who shall be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of the National Film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8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established under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47 of 1971,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 members appointed by the Minister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3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who appear to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wide experience,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recognition in television engineering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forms of engineering or legal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matters or administration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3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relations or in the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broadcasting and communication.”;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(5) thereof by the substitution for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“Every member” of the words “Every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member”;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(6)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any member” of the words “by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658" w:val="left"/>
          <w:tab w:pos="6494" w:val="left"/>
        </w:tabs>
        <w:autoSpaceDE w:val="0"/>
        <w:widowControl/>
        <w:spacing w:line="245" w:lineRule="auto" w:before="0" w:after="0"/>
        <w:ind w:left="27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Rupavahini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32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(7)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(8) thereof, by the substitution for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“remove any member” of the words “remove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appointed member”;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(9)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the definition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expression “agent” of the following definition:-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 “Minister” means the Minister to whom the Rupavahini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is assigned under Article 44 or 45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6"/>
        <w:ind w:left="0" w:right="0"/>
      </w:pPr>
    </w:p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Rupavahini 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74" w:after="0"/>
        <w:ind w:left="0" w:right="349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