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05,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10.08.2022)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20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CIVIL PROCEDURE CODE (AMENDMENT)</w:t>
      </w:r>
    </w:p>
    <w:p>
      <w:pPr>
        <w:autoSpaceDN w:val="0"/>
        <w:autoSpaceDE w:val="0"/>
        <w:widowControl/>
        <w:spacing w:line="238" w:lineRule="auto" w:before="32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0" w:right="235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Civil Procedure Code (Chapter 101)</w:t>
      </w:r>
    </w:p>
    <w:p>
      <w:pPr>
        <w:autoSpaceDN w:val="0"/>
        <w:autoSpaceDE w:val="0"/>
        <w:widowControl/>
        <w:spacing w:line="245" w:lineRule="auto" w:before="67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3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59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made to this clause is a general amendment to the Civil Procedure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Code (Chapter 101) (hereinafter referred to as the “principal enactment”)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change the Sinhala expression of the words “Small Claims </w:t>
      </w:r>
      <w:r>
        <w:rPr>
          <w:rFonts w:ascii="Times" w:hAnsi="Times" w:eastAsia="Times"/>
          <w:b w:val="0"/>
          <w:i w:val="0"/>
          <w:color w:val="000000"/>
          <w:sz w:val="16"/>
        </w:rPr>
        <w:t>Court” in the provisions of the Sinhala text of the principal enactment.</w:t>
      </w:r>
    </w:p>
    <w:p>
      <w:pPr>
        <w:autoSpaceDN w:val="0"/>
        <w:autoSpaceDE w:val="0"/>
        <w:widowControl/>
        <w:spacing w:line="245" w:lineRule="auto" w:before="204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repeals Chapter LXVI (sections 801 to 833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both inclusive)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principal enactment and the legal effect of the amendment is to repeal the provisions </w:t>
      </w:r>
      <w:r>
        <w:rPr>
          <w:rFonts w:ascii="Times" w:hAnsi="Times" w:eastAsia="Times"/>
          <w:b w:val="0"/>
          <w:i w:val="0"/>
          <w:color w:val="000000"/>
          <w:sz w:val="16"/>
        </w:rPr>
        <w:t>relating to the special procedure for Small Claims Courts.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First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amendment is consequential to the amendment made to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64/2021</w:t>
      </w:r>
    </w:p>
    <w:p>
      <w:pPr>
        <w:autoSpaceDN w:val="0"/>
        <w:autoSpaceDE w:val="0"/>
        <w:widowControl/>
        <w:spacing w:line="245" w:lineRule="auto" w:before="254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Civil Procedure Code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shall come into operation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Civil Procedure Code (Chapter 101)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“principal enactment”)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“Small Claims Court”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wherever those words occur in any provision of the principal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enactment, of the words “Small Claims Court”.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Chapter LXVI (sections 801 to 833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both inclusive)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principal enactment is hereby 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LXVI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2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repeal of Form No. 136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First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8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8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