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2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TERMINATION OF EMPLOYMENT OF WORKMEN </w:t>
      </w:r>
      <w:r>
        <w:rPr>
          <w:rFonts w:ascii="Times" w:hAnsi="Times" w:eastAsia="Times"/>
          <w:b/>
          <w:i w:val="0"/>
          <w:color w:val="221F1F"/>
          <w:sz w:val="24"/>
        </w:rPr>
        <w:t>(SPECIAL PROVISIONS) (AMENDMENT)</w:t>
      </w:r>
    </w:p>
    <w:p>
      <w:pPr>
        <w:autoSpaceDN w:val="0"/>
        <w:autoSpaceDE w:val="0"/>
        <w:widowControl/>
        <w:spacing w:line="238" w:lineRule="auto" w:before="23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96" w:after="0"/>
        <w:ind w:left="2016" w:right="216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Termination of Employment of Workmen </w:t>
      </w:r>
      <w:r>
        <w:rPr>
          <w:rFonts w:ascii="Times" w:hAnsi="Times" w:eastAsia="Times"/>
          <w:b/>
          <w:i w:val="0"/>
          <w:color w:val="000000"/>
          <w:sz w:val="20"/>
        </w:rPr>
        <w:t>(Special Provisions) Act, No. 45 of 1971</w:t>
      </w:r>
    </w:p>
    <w:p>
      <w:pPr>
        <w:autoSpaceDN w:val="0"/>
        <w:autoSpaceDE w:val="0"/>
        <w:widowControl/>
        <w:spacing w:line="238" w:lineRule="auto" w:before="9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0" w:after="0"/>
        <w:ind w:left="1872" w:right="201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Minister of Labour and Foreign Employment </w:t>
      </w:r>
      <w:r>
        <w:rPr>
          <w:rFonts w:ascii="Times" w:hAnsi="Times" w:eastAsia="Times"/>
          <w:b w:val="0"/>
          <w:i/>
          <w:color w:val="221F1F"/>
          <w:sz w:val="20"/>
        </w:rPr>
        <w:t>on 10th of August, 2022</w:t>
      </w:r>
    </w:p>
    <w:p>
      <w:pPr>
        <w:autoSpaceDN w:val="0"/>
        <w:autoSpaceDE w:val="0"/>
        <w:widowControl/>
        <w:spacing w:line="235" w:lineRule="auto" w:before="24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22, 2022)</w:t>
      </w:r>
    </w:p>
    <w:p>
      <w:pPr>
        <w:autoSpaceDN w:val="0"/>
        <w:autoSpaceDE w:val="0"/>
        <w:widowControl/>
        <w:spacing w:line="235" w:lineRule="auto" w:before="24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4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3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131]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9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6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Termination of Employment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Workmen (Special Provisions) Act, No. 45 of 1971 (hereinafter referred to as the “principal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enactment”) and the legal effect of that section as amended is to increase the fine specified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subsection (2) thereof and to impose an additional fine on an employer for a continuous </w:t>
      </w:r>
      <w:r>
        <w:rPr>
          <w:rFonts w:ascii="Times" w:hAnsi="Times" w:eastAsia="Times"/>
          <w:b w:val="0"/>
          <w:i w:val="0"/>
          <w:color w:val="000000"/>
          <w:sz w:val="16"/>
        </w:rPr>
        <w:t>offence and provide for the recovery of a default sum of an employer by the Court.</w:t>
      </w:r>
    </w:p>
    <w:p>
      <w:pPr>
        <w:autoSpaceDN w:val="0"/>
        <w:tabs>
          <w:tab w:pos="1676" w:val="left"/>
        </w:tabs>
        <w:autoSpaceDE w:val="0"/>
        <w:widowControl/>
        <w:spacing w:line="250" w:lineRule="auto" w:before="226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 of the principal enactment to increase the fine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paragraph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of subsection (1).</w:t>
      </w:r>
    </w:p>
    <w:p>
      <w:pPr>
        <w:autoSpaceDN w:val="0"/>
        <w:autoSpaceDE w:val="0"/>
        <w:widowControl/>
        <w:spacing w:line="259" w:lineRule="auto" w:before="222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the principal enactment by the insertion of new </w:t>
      </w:r>
      <w:r>
        <w:rPr>
          <w:rFonts w:ascii="Times" w:hAnsi="Times" w:eastAsia="Times"/>
          <w:b w:val="0"/>
          <w:i w:val="0"/>
          <w:color w:val="000000"/>
          <w:sz w:val="16"/>
        </w:rPr>
        <w:t>sections 10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the new sections provide for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furnish of a security in cash by the employer in respect of an application to the High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an appeal to the Court of Appeal, against an order of the Magistrate’s Court or the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Commissioner-General.</w:t>
      </w:r>
    </w:p>
    <w:p>
      <w:pPr>
        <w:autoSpaceDN w:val="0"/>
        <w:tabs>
          <w:tab w:pos="1676" w:val="left"/>
        </w:tabs>
        <w:autoSpaceDE w:val="0"/>
        <w:widowControl/>
        <w:spacing w:line="250" w:lineRule="auto" w:before="22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14 of the principal enactment to increase the fine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1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258" w:after="0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24/2021</w:t>
      </w:r>
    </w:p>
    <w:p>
      <w:pPr>
        <w:autoSpaceDN w:val="0"/>
        <w:tabs>
          <w:tab w:pos="2742" w:val="left"/>
        </w:tabs>
        <w:autoSpaceDE w:val="0"/>
        <w:widowControl/>
        <w:spacing w:line="247" w:lineRule="auto" w:before="268" w:after="0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7" w:lineRule="auto" w:before="268" w:after="208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Termination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0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Employment of Workmen (Special Provisions)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 No.       of 2022.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6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Termination of Employment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Workmen (Special Provisions) Act, No. 45 of 1971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45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1971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10"/>
        <w:ind w:left="2546" w:right="24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“fine not exceeding one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rupees” of the words “fine not exceeding twenty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(3)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following:–</w:t>
            </w:r>
          </w:p>
        </w:tc>
      </w:tr>
    </w:tbl>
    <w:p>
      <w:pPr>
        <w:autoSpaceDN w:val="0"/>
        <w:tabs>
          <w:tab w:pos="2546" w:val="left"/>
          <w:tab w:pos="2748" w:val="left"/>
        </w:tabs>
        <w:autoSpaceDE w:val="0"/>
        <w:widowControl/>
        <w:spacing w:line="257" w:lineRule="auto" w:before="21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(1) Where an employer is convicted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subsection (3), such employer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liable, if he continuously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made by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(2), to pay the workman,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any fine imposed under subsection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additional fine of five hundred rupees for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on which the noncompliance is continued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conviction.</w:t>
      </w:r>
    </w:p>
    <w:p>
      <w:pPr>
        <w:autoSpaceDN w:val="0"/>
        <w:tabs>
          <w:tab w:pos="2546" w:val="left"/>
          <w:tab w:pos="274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employer fails to pay any sum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payable to a workman under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such amount may be recovered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48" w:val="left"/>
          <w:tab w:pos="2708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62" w:lineRule="auto" w:before="266" w:after="21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 of a Magistrate’s Court by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 was convicted as if it were a fine imposed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him by that court, and the amount recovered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paid to the workman.”.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 fine of fifty rupees”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 fine of five hundred rupees”.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10 of the principal enactment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 employer is dissatisfied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 a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 order of the Magistrate’s Court,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employer may make an application in revision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 an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written petition, against that order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High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Court 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Constitution, to the Province within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Magistrate’s Court is situated.</w:t>
      </w:r>
    </w:p>
    <w:p>
      <w:pPr>
        <w:autoSpaceDN w:val="0"/>
        <w:tabs>
          <w:tab w:pos="1398" w:val="left"/>
          <w:tab w:pos="2784" w:val="left"/>
          <w:tab w:pos="3024" w:val="left"/>
        </w:tabs>
        <w:autoSpaceDE w:val="0"/>
        <w:widowControl/>
        <w:spacing w:line="269" w:lineRule="auto" w:before="290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employer who makes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 shall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Magistrate’s Court, a security in cash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order which is the subject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directs the payment of a sum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to the workman, of an amount equal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sum.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6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application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supported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under the hand of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Magistrate’s Court, to the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security as specified in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duly furnished by such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12" w:val="left"/>
          <w:tab w:pos="6494" w:val="left"/>
        </w:tabs>
        <w:autoSpaceDE w:val="0"/>
        <w:widowControl/>
        <w:spacing w:line="245" w:lineRule="auto" w:before="0" w:after="0"/>
        <w:ind w:left="2550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69" w:lineRule="auto" w:before="272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Registrar of the Magistrate’s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all such sum of money furnished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under subsection (2), to be sent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 General to deposit in an account</w:t>
      </w:r>
    </w:p>
    <w:p>
      <w:pPr>
        <w:autoSpaceDN w:val="0"/>
        <w:tabs>
          <w:tab w:pos="2878" w:val="left"/>
        </w:tabs>
        <w:autoSpaceDE w:val="0"/>
        <w:widowControl/>
        <w:spacing w:line="266" w:lineRule="auto" w:before="38" w:after="248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bearing interest, maintained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General, in any approved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Employer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 employer is dissatisfied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 a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 order made by Commissioner-General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 or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such employer may make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to the Court of Appeal against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 for the issue of an order in the nature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writ.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71" w:lineRule="auto" w:before="2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employer who makes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 for the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order in the nature of a writ shall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Court of Appeal, a security in cash,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which is the subject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directs–</w:t>
      </w:r>
    </w:p>
    <w:p>
      <w:pPr>
        <w:autoSpaceDN w:val="0"/>
        <w:tabs>
          <w:tab w:pos="3120" w:val="left"/>
          <w:tab w:pos="3478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both the payment of a sum of money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and the reinstatment,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of money, as salary or wages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to be calculated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order to the date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workman shall be reinstated, and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twelve times the monthly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salary or wages of such workman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reinstatement; and</w:t>
      </w:r>
    </w:p>
    <w:p>
      <w:pPr>
        <w:autoSpaceDN w:val="0"/>
        <w:tabs>
          <w:tab w:pos="3120" w:val="left"/>
          <w:tab w:pos="3478" w:val="left"/>
        </w:tabs>
        <w:autoSpaceDE w:val="0"/>
        <w:widowControl/>
        <w:spacing w:line="264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only the payment of a sum of money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workman as compensation,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 equal to such sum.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48" w:val="left"/>
          <w:tab w:pos="2708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6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application for the issue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in the nature of a writ,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supported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under the hand of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to the effect that the security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(2) has been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furnished by such employer.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Commissioner-General shall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deposited the sum as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in an account bearing interest,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Commissioner-General,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approved bank in Sri Lanka.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4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Commissioner-General shall refund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furnished under subsection (2) together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interest on such sum to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in terms of the final  determination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Court of Appeal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Superme Court,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“fine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thousand rupees” of the words “fine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twenty thousand rupees”.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1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902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