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4" w:after="0"/>
        <w:ind w:left="14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CHILDREN AND YOUNG PERSONS (AMENDMENT)</w:t>
      </w:r>
    </w:p>
    <w:p>
      <w:pPr>
        <w:autoSpaceDN w:val="0"/>
        <w:autoSpaceDE w:val="0"/>
        <w:widowControl/>
        <w:spacing w:line="238" w:lineRule="auto" w:before="40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44" w:after="0"/>
        <w:ind w:left="16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amemd the Children and Young Persons Ordinance (Chapter 23)</w:t>
      </w:r>
    </w:p>
    <w:p>
      <w:pPr>
        <w:autoSpaceDN w:val="0"/>
        <w:autoSpaceDE w:val="0"/>
        <w:widowControl/>
        <w:spacing w:line="238" w:lineRule="auto" w:before="34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29th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18,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4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88" w:lineRule="exact" w:before="196" w:after="0"/>
        <w:ind w:left="1446" w:right="1334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the Children and Young Persons Ordinance (Chapter 23)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(hereinafter referred to as the “principal enactment) and the legal effect of this section as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amended is–</w:t>
      </w:r>
    </w:p>
    <w:p>
      <w:pPr>
        <w:autoSpaceDN w:val="0"/>
        <w:tabs>
          <w:tab w:pos="2046" w:val="left"/>
        </w:tabs>
        <w:autoSpaceDE w:val="0"/>
        <w:widowControl/>
        <w:spacing w:line="184" w:lineRule="exact" w:before="208" w:after="0"/>
        <w:ind w:left="1718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) to raise the age of a person who shall be a child for the purpose of the principal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enactment, from the age of sixteen years to the age of eighteen years;</w:t>
      </w:r>
    </w:p>
    <w:p>
      <w:pPr>
        <w:autoSpaceDN w:val="0"/>
        <w:autoSpaceDE w:val="0"/>
        <w:widowControl/>
        <w:spacing w:line="184" w:lineRule="exact" w:before="208" w:after="0"/>
        <w:ind w:left="1584" w:right="129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) to omit the reference to “young person” in the principal enactment and any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written law where such words occur in relation the principal enactment; and</w:t>
      </w:r>
    </w:p>
    <w:p>
      <w:pPr>
        <w:autoSpaceDN w:val="0"/>
        <w:autoSpaceDE w:val="0"/>
        <w:widowControl/>
        <w:spacing w:line="196" w:lineRule="exact" w:before="196" w:after="0"/>
        <w:ind w:left="17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) to rename the principal enactment as the “Children’s Ordinance”.</w:t>
      </w:r>
    </w:p>
    <w:p>
      <w:pPr>
        <w:autoSpaceDN w:val="0"/>
        <w:autoSpaceDE w:val="0"/>
        <w:widowControl/>
        <w:spacing w:line="188" w:lineRule="exact" w:before="196" w:after="0"/>
        <w:ind w:left="1446" w:right="1334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This clause amends section 9 of the principal enactment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this section as amended is to enable the provisions of subsection (4) thereof to be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applicable to a child who is above the age of fourteen years.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13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 2.</w:t>
      </w:r>
    </w:p>
    <w:p>
      <w:pPr>
        <w:autoSpaceDN w:val="0"/>
        <w:autoSpaceDE w:val="0"/>
        <w:widowControl/>
        <w:spacing w:line="188" w:lineRule="exact" w:before="204" w:after="0"/>
        <w:ind w:left="1446" w:right="1334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15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make the provisions of this clause applicable to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child who is above the age of sixteen years.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the sub-heading of Part II of the principal enactment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is consequential to the amendments made by clause 2.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replaces section 23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is to impose restrictions on punishment of children.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24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provisions of Penal Code (Amendment) Act, No. 25 of 2021.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25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 made by clause 7.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26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clauses 2 and 13.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Clause 11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 This clause amends section 27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clauses 2 and 13.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28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 made by clause 13.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repeals section 29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is to remove the infliction of corporal punishment on children.</w:t>
      </w:r>
    </w:p>
    <w:p>
      <w:pPr>
        <w:autoSpaceDN w:val="0"/>
        <w:tabs>
          <w:tab w:pos="1686" w:val="left"/>
        </w:tabs>
        <w:autoSpaceDE w:val="0"/>
        <w:widowControl/>
        <w:spacing w:line="184" w:lineRule="exact" w:before="208" w:after="0"/>
        <w:ind w:left="144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30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 made by clause 13.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6"/>
        <w:ind w:left="0" w:right="0"/>
      </w:pPr>
    </w:p>
    <w:p>
      <w:pPr>
        <w:autoSpaceDN w:val="0"/>
        <w:tabs>
          <w:tab w:pos="1584" w:val="left"/>
        </w:tabs>
        <w:autoSpaceDE w:val="0"/>
        <w:widowControl/>
        <w:spacing w:line="178" w:lineRule="exact" w:before="18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15 : This clause amends section 31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 2.</w:t>
      </w:r>
    </w:p>
    <w:p>
      <w:pPr>
        <w:autoSpaceDN w:val="0"/>
        <w:tabs>
          <w:tab w:pos="1584" w:val="left"/>
        </w:tabs>
        <w:autoSpaceDE w:val="0"/>
        <w:widowControl/>
        <w:spacing w:line="178" w:lineRule="exact" w:before="208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32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clauses 2 and 7.</w:t>
      </w:r>
    </w:p>
    <w:p>
      <w:pPr>
        <w:autoSpaceDN w:val="0"/>
        <w:autoSpaceDE w:val="0"/>
        <w:widowControl/>
        <w:spacing w:line="184" w:lineRule="exact" w:before="202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replaces section 42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is to introduce provisions for the duration of stay in an approved or certified school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be specified in the court order relating thereto.</w:t>
      </w:r>
    </w:p>
    <w:p>
      <w:pPr>
        <w:autoSpaceDN w:val="0"/>
        <w:tabs>
          <w:tab w:pos="1584" w:val="left"/>
        </w:tabs>
        <w:autoSpaceDE w:val="0"/>
        <w:widowControl/>
        <w:spacing w:line="182" w:lineRule="exact" w:before="200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43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 2.</w:t>
      </w:r>
    </w:p>
    <w:p>
      <w:pPr>
        <w:autoSpaceDN w:val="0"/>
        <w:autoSpaceDE w:val="0"/>
        <w:widowControl/>
        <w:spacing w:line="186" w:lineRule="exact" w:before="196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19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44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raise the age limit which should not exceed when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extending the period of detention in an approved or certified school, from nineteen years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twenty one years.</w:t>
      </w:r>
    </w:p>
    <w:p>
      <w:pPr>
        <w:autoSpaceDN w:val="0"/>
        <w:autoSpaceDE w:val="0"/>
        <w:widowControl/>
        <w:spacing w:line="186" w:lineRule="exact" w:before="200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45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amend the age limits of a child applicable in relation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supervision by a manager after the expiry of the period of detention in an approved or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certified school.</w:t>
      </w:r>
    </w:p>
    <w:p>
      <w:pPr>
        <w:autoSpaceDN w:val="0"/>
        <w:autoSpaceDE w:val="0"/>
        <w:widowControl/>
        <w:spacing w:line="184" w:lineRule="exact" w:before="200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inserts new section 51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is to introduce provisions for every approved or certified school to have a primary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and secondary division.</w:t>
      </w:r>
    </w:p>
    <w:p>
      <w:pPr>
        <w:autoSpaceDN w:val="0"/>
        <w:tabs>
          <w:tab w:pos="1584" w:val="left"/>
        </w:tabs>
        <w:autoSpaceDE w:val="0"/>
        <w:widowControl/>
        <w:spacing w:line="178" w:lineRule="exact" w:before="208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55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 2.</w:t>
      </w:r>
    </w:p>
    <w:p>
      <w:pPr>
        <w:autoSpaceDN w:val="0"/>
        <w:tabs>
          <w:tab w:pos="1584" w:val="left"/>
        </w:tabs>
        <w:autoSpaceDE w:val="0"/>
        <w:widowControl/>
        <w:spacing w:line="178" w:lineRule="exact" w:before="208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57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 2.</w:t>
      </w:r>
    </w:p>
    <w:p>
      <w:pPr>
        <w:autoSpaceDN w:val="0"/>
        <w:tabs>
          <w:tab w:pos="1584" w:val="left"/>
        </w:tabs>
        <w:autoSpaceDE w:val="0"/>
        <w:widowControl/>
        <w:spacing w:line="178" w:lineRule="exact" w:before="208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71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 made by clause 13.</w:t>
      </w:r>
    </w:p>
    <w:p>
      <w:pPr>
        <w:autoSpaceDN w:val="0"/>
        <w:autoSpaceDE w:val="0"/>
        <w:widowControl/>
        <w:spacing w:line="186" w:lineRule="exact" w:before="200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This clause amends section 72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provide that causing or encouraging the commission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any offence under section 345, 360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363, 364, 364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365 or 365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Penal Code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or any offence under the Obscene Publications Ordinance (Chapter 30) in respect of such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child by a person having custody, charge or care of a child to be an offence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principal enactment.</w:t>
      </w:r>
    </w:p>
    <w:p>
      <w:pPr>
        <w:autoSpaceDN w:val="0"/>
        <w:autoSpaceDE w:val="0"/>
        <w:widowControl/>
        <w:spacing w:line="184" w:lineRule="exact" w:before="200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73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enable this section to be applicable to any child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without a restriction on age.</w:t>
      </w:r>
    </w:p>
    <w:p>
      <w:pPr>
        <w:autoSpaceDN w:val="0"/>
        <w:tabs>
          <w:tab w:pos="1584" w:val="left"/>
        </w:tabs>
        <w:autoSpaceDE w:val="0"/>
        <w:widowControl/>
        <w:spacing w:line="182" w:lineRule="exact" w:before="200" w:after="0"/>
        <w:ind w:left="1344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74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amendments made by clause 2.</w:t>
      </w:r>
    </w:p>
    <w:p>
      <w:pPr>
        <w:autoSpaceDN w:val="0"/>
        <w:autoSpaceDE w:val="0"/>
        <w:widowControl/>
        <w:spacing w:line="184" w:lineRule="exact" w:before="198" w:after="0"/>
        <w:ind w:left="1344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repeals section 76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is such that the said section has become redundant consequent to the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section 31 of the National Authority on Tobacco and Alcohol Act, No. 27 of 2006.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0"/>
        <w:ind w:left="0" w:right="0"/>
      </w:pPr>
    </w:p>
    <w:p>
      <w:pPr>
        <w:autoSpaceDN w:val="0"/>
        <w:tabs>
          <w:tab w:pos="1676" w:val="left"/>
        </w:tabs>
        <w:autoSpaceDE w:val="0"/>
        <w:widowControl/>
        <w:spacing w:line="182" w:lineRule="exact" w:before="12" w:after="0"/>
        <w:ind w:left="1436" w:right="1296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80 of the principal enactment and is consequen-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tial to the amendment made by clause 2.</w:t>
      </w:r>
    </w:p>
    <w:p>
      <w:pPr>
        <w:autoSpaceDN w:val="0"/>
        <w:autoSpaceDE w:val="0"/>
        <w:widowControl/>
        <w:spacing w:line="190" w:lineRule="exact" w:before="202" w:after="0"/>
        <w:ind w:left="1436" w:right="1344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30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: This clause amends section 88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this section as amended is to re-define a “child” as a person under the age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eighteen years, to remove the definition of a young person consequent to the amendments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made by clause 2 and to introduce a new definition for the expression “training school for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youthful offenders”.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26/2019</w:t>
      </w:r>
    </w:p>
    <w:p>
      <w:pPr>
        <w:autoSpaceDN w:val="0"/>
        <w:autoSpaceDE w:val="0"/>
        <w:widowControl/>
        <w:spacing w:line="250" w:lineRule="auto" w:before="27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OUNG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23)</w:t>
      </w:r>
    </w:p>
    <w:p>
      <w:pPr>
        <w:autoSpaceDN w:val="0"/>
        <w:autoSpaceDE w:val="0"/>
        <w:widowControl/>
        <w:spacing w:line="250" w:lineRule="auto" w:before="276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Children and Young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(Amendment) Act, No.    of 2022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such date as the Minister may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Children and Young Persons Ordinance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23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 &amp;</w:t>
            </w:r>
          </w:p>
        </w:tc>
      </w:tr>
      <w:tr>
        <w:trPr>
          <w:trHeight w:hRule="exact" w:val="55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23)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there shall be substituted–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etc.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1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“Children and Young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Ordinance”, the words “Children’s Ordinance”;</w:t>
      </w:r>
    </w:p>
    <w:p>
      <w:pPr>
        <w:autoSpaceDN w:val="0"/>
        <w:tabs>
          <w:tab w:pos="2396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words “children and young persons”,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“children”;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“child or young person”, the word 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“child”; and</w:t>
      </w:r>
    </w:p>
    <w:p>
      <w:pPr>
        <w:autoSpaceDN w:val="0"/>
        <w:tabs>
          <w:tab w:pos="2396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“age of sixteen years”, the words “age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eighteen years”,</w:t>
      </w:r>
    </w:p>
    <w:p>
      <w:pPr>
        <w:autoSpaceDN w:val="0"/>
        <w:autoSpaceDE w:val="0"/>
        <w:widowControl/>
        <w:spacing w:line="238" w:lineRule="auto" w:before="27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wherever such words appear in the principal enactment.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any other written law, there shall be substituted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“Children and Young Persons Ordinance”,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“children and young persons” and “child or young person”,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“Children’s Ordinance”, “children” and “child”,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respectively, wherever those words occur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5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4" w:after="194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reference to “Children and Young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Ordinance”, “children and young persons”, “child or young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person” and “age of sixteen years” in any regulation or rule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the principal enactment or notice, notification,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principal enactment shall be read and construed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reference respectively, to “Children’s Ordinance”,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“children”, “child” and “age of eighteen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(3) of that section;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(4) of that section-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7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words “Where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person is brought”, of the words “Where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child who is above the age of fourteen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brought”; and</w:t>
      </w:r>
    </w:p>
    <w:p>
      <w:pPr>
        <w:autoSpaceDN w:val="0"/>
        <w:autoSpaceDE w:val="0"/>
        <w:widowControl/>
        <w:spacing w:line="245" w:lineRule="auto" w:before="254" w:after="158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words “the young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person”, of the words “such child”, wherever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words appear in that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marginal note to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“children and young offenders”,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 “children”.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82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“in due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law:” of the words “in due course.”; and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5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proviso to that subsection;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84" w:after="8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“in the case of a young person” and</w:t>
      </w:r>
      <w:r>
        <w:rPr>
          <w:rFonts w:ascii="Times" w:hAnsi="Times" w:eastAsia="Times"/>
          <w:b w:val="0"/>
          <w:i w:val="0"/>
          <w:color w:val="221F1F"/>
          <w:sz w:val="20"/>
        </w:rPr>
        <w:t>“the young person may be committed to prison.”,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“in the case of a child who is above the 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sixteen years” and “such child who is above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sixteen years shall be placed in a remand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home”,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sub-heading appearing immediately before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of Part II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sub-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sub-heading is substituted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II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6718" w:val="left"/>
        </w:tabs>
        <w:autoSpaceDE w:val="0"/>
        <w:widowControl/>
        <w:spacing w:line="252" w:lineRule="auto" w:before="6" w:after="194"/>
        <w:ind w:left="319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“CHILD  OFFENDERS”.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23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“Restrictions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23. (1) A child shall not be ordered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34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punishment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children.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imprisoned for any offence or be committed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prison in default of payment of a fine.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6" w:after="6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child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age of sixteen years or above,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probation officer is of the opinion that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 is so unruly a character and cannot be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 in a remand home or certified school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if such child is of so depraved a character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child is not a fit person to be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detained, the court shall direct the probation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to cause a psychological assessment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of such child by the medical experts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report to court.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report of a psychological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referred to in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confirms that the child is not fit to be detained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remand home, the court shall order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child to be detained in a training school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5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autoSpaceDE w:val="0"/>
        <w:widowControl/>
        <w:spacing w:line="247" w:lineRule="auto" w:before="484" w:after="19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youthful offenders, notwithstanding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relating to age and the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specified in the Youthful Offenders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(Training Schools) Ordinance (Chapter 25).”.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of that section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68" w:val="left"/>
          <w:tab w:pos="2782" w:val="left"/>
        </w:tabs>
        <w:autoSpaceDE w:val="0"/>
        <w:widowControl/>
        <w:spacing w:line="247" w:lineRule="auto" w:before="194" w:after="6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Where in lieu of sentence of death, a sentence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detention has been passed by any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53 of the Penal Code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person who is under the age of eighteen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at the time of the commission of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such person, the court may order such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detained in a remand home for such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the sentence.”; and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5" w:lineRule="auto" w:before="1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subsection (3) of that section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2348" w:val="left"/>
          <w:tab w:pos="278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A person detained pursuant to an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court under section 53 of the Penal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referred to in subsection (1) or a direction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Minister under subsection (2)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so detained be deemed to be in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all the words from “may be specified in the order,”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words “exceeding one month.”,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words:-</w:t>
      </w:r>
    </w:p>
    <w:p>
      <w:pPr>
        <w:autoSpaceDN w:val="0"/>
        <w:autoSpaceDE w:val="0"/>
        <w:widowControl/>
        <w:spacing w:line="235" w:lineRule="auto" w:before="246" w:after="0"/>
        <w:ind w:left="0" w:right="39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“may be specified in the Order: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4" w:after="8"/>
        <w:ind w:left="23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case of a child who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sixteen years or above,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 (2) and (3) of section 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and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child.”; and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76"/>
        <w:ind w:left="23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“a child who has attained the age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6" w:val="left"/>
        </w:tabs>
        <w:autoSpaceDE w:val="0"/>
        <w:widowControl/>
        <w:spacing w:line="245" w:lineRule="auto" w:before="8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twelve years or a young person”, of the words “a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child who has attained the age of twelve years”;</w:t>
      </w:r>
    </w:p>
    <w:p>
      <w:pPr>
        <w:autoSpaceDN w:val="0"/>
        <w:autoSpaceDE w:val="0"/>
        <w:widowControl/>
        <w:spacing w:line="247" w:lineRule="auto" w:before="252" w:after="0"/>
        <w:ind w:left="23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28(1).”; and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45" w:lineRule="auto" w:before="254" w:after="194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substitution, in the marginal note to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“a child or young offender”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“a child offender”.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(2)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and figures “under section 28(1)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3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28(1).”; and</w:t>
      </w:r>
    </w:p>
    <w:p>
      <w:pPr>
        <w:autoSpaceDN w:val="0"/>
        <w:autoSpaceDE w:val="0"/>
        <w:widowControl/>
        <w:spacing w:line="235" w:lineRule="auto" w:before="254" w:after="6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substitution, in the marginal note to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section, for the words “child or young offender”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“child offender”.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(2) of that section.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0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2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5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and figures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“sections 25 to 29,” of the words and figures “sections 25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marginal note to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31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“child or young offender”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“child offender”.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32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paragraph:-</w:t>
      </w:r>
    </w:p>
    <w:p>
      <w:pPr>
        <w:autoSpaceDN w:val="0"/>
        <w:tabs>
          <w:tab w:pos="2348" w:val="left"/>
          <w:tab w:pos="278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child who has attained the age of sixteen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or above who has been ordered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 in a training school for youthful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offenders and pardoned by the President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his agreeing to undergo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 school,”;</w:t>
      </w:r>
    </w:p>
    <w:p>
      <w:pPr>
        <w:autoSpaceDN w:val="0"/>
        <w:autoSpaceDE w:val="0"/>
        <w:widowControl/>
        <w:spacing w:line="238" w:lineRule="auto" w:before="276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proviso to that section-</w:t>
      </w:r>
    </w:p>
    <w:p>
      <w:pPr>
        <w:autoSpaceDN w:val="0"/>
        <w:tabs>
          <w:tab w:pos="2438" w:val="left"/>
          <w:tab w:pos="2784" w:val="left"/>
        </w:tabs>
        <w:autoSpaceDE w:val="0"/>
        <w:widowControl/>
        <w:spacing w:line="254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proviso, for the word “person”, of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4" w:lineRule="auto" w:before="502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proviso, for the words “a young person”,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“a child”; and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66" w:lineRule="auto" w:before="308" w:after="248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marginal note to that section,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“children and young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offenders”, of the words “child offenders”.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42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“Duration of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42. Where a court orders a child to be sent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school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 approved or certified school,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duration of stay which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more than three years and be an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69" w:lineRule="auto" w:before="20" w:after="248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such child’s detention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or certified school,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until the expiration of such period as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order.”.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marginal note to that section,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“children or young persons”,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“children”.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“age of nineteen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years:”, of the words “age of twenty one years:”.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36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 attained the age of fourteen years, until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attains the age of sixteen years.”, of the words “not attained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eighteen years, until he attains the age of twenty </w:t>
      </w:r>
      <w:r>
        <w:rPr>
          <w:rFonts w:ascii="Times" w:hAnsi="Times" w:eastAsia="Times"/>
          <w:b w:val="0"/>
          <w:i w:val="0"/>
          <w:color w:val="221F1F"/>
          <w:sz w:val="20"/>
        </w:rPr>
        <w:t>years.”.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51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3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“Every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In every approved or certified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 or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school, there shall be-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school to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“primary section” in which children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 primary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have not attained the age of fifteen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shall be detained;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“secondary section” in which children</w:t>
      </w:r>
    </w:p>
    <w:p>
      <w:pPr>
        <w:autoSpaceDN w:val="0"/>
        <w:tabs>
          <w:tab w:pos="3382" w:val="left"/>
        </w:tabs>
        <w:autoSpaceDE w:val="0"/>
        <w:widowControl/>
        <w:spacing w:line="259" w:lineRule="auto" w:before="32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have attained the age of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but not attained the age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shall be detained.</w:t>
      </w:r>
    </w:p>
    <w:p>
      <w:pPr>
        <w:autoSpaceDN w:val="0"/>
        <w:autoSpaceDE w:val="0"/>
        <w:widowControl/>
        <w:spacing w:line="238" w:lineRule="auto" w:before="292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Where-</w:t>
      </w:r>
    </w:p>
    <w:p>
      <w:pPr>
        <w:autoSpaceDN w:val="0"/>
        <w:tabs>
          <w:tab w:pos="3398" w:val="left"/>
          <w:tab w:pos="3742" w:val="left"/>
        </w:tabs>
        <w:autoSpaceDE w:val="0"/>
        <w:widowControl/>
        <w:spacing w:line="257" w:lineRule="auto" w:before="292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Magistrate makes an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26; or</w:t>
      </w:r>
    </w:p>
    <w:p>
      <w:pPr>
        <w:autoSpaceDN w:val="0"/>
        <w:tabs>
          <w:tab w:pos="3742" w:val="left"/>
        </w:tabs>
        <w:autoSpaceDE w:val="0"/>
        <w:widowControl/>
        <w:spacing w:line="254" w:lineRule="auto" w:before="288" w:after="0"/>
        <w:ind w:left="33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makes an Order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32,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29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a child to an approved or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school, such order under section 26 or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32 shall, at the time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commitment, specify whether the child should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committed to the primary section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secondary section of such school, depending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age of the child: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64" w:lineRule="auto" w:before="29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manager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shall transfer a child who is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section, to the secondary section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child reaching the age of fifteen years.”.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55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for the words 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he is”,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 if he is”;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194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subsection, for the words 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he has”,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“(ii) if he has”.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“the expressions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57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and “young person” mean”, of the words “the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“child” means”.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(6) of that section.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71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all the words from “of a young person”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6" w:val="left"/>
          <w:tab w:pos="2398" w:val="left"/>
        </w:tabs>
        <w:autoSpaceDE w:val="0"/>
        <w:widowControl/>
        <w:spacing w:line="247" w:lineRule="auto" w:before="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“Penal Code,”, of the words “of a child, causes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encourages the commission in respect of such child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offence under section 345, 360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363, 364,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364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365 or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Penal Code or any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Obscene Publications Ordinance (Chapter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30),”;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0" w:lineRule="auto" w:before="246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“in respect of a child or young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female, a person shall, if he has knowingly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allowed her to consort with,” of the words “in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child, a person shall, if he has knowingly allowed</w:t>
      </w:r>
    </w:p>
    <w:p>
      <w:pPr>
        <w:autoSpaceDN w:val="0"/>
        <w:tabs>
          <w:tab w:pos="239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child to consort with,”;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5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autoSpaceDE w:val="0"/>
        <w:widowControl/>
        <w:spacing w:line="245" w:lineRule="auto" w:before="484" w:after="154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substitution, in the marginal note to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“of girl under sixteen.”,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“of a child.”.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73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all the words from “care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child” to the words “to reside”, of the words “care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child allows that child to reside”;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the marginal note to that section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therefor, of the following marginal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note: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94" w:after="166"/>
        <w:ind w:left="2422" w:right="51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“Allowing children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be in brothels”.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marginal note to that 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74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therefor, of the following marginal note:-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“Causing or procuring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166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children to beg”.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5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of that section.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80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88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the definition of the expression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156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“child” means a person under the age of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84" w:after="0"/>
        <w:ind w:left="23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insertion, immediately after the definition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“scheduled offence”,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definition: -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“training school for youthful offenders” means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school established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Youthful Offenders (Training Schools)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25);”; and</w:t>
      </w:r>
    </w:p>
    <w:p>
      <w:pPr>
        <w:autoSpaceDN w:val="0"/>
        <w:tabs>
          <w:tab w:pos="2396" w:val="left"/>
        </w:tabs>
        <w:autoSpaceDE w:val="0"/>
        <w:widowControl/>
        <w:spacing w:line="245" w:lineRule="auto" w:before="254" w:after="194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“young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36"/>
        </w:trPr>
        <w:tc>
          <w:tcPr>
            <w:tcW w:type="dxa" w:w="7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4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