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2" w:after="0"/>
        <w:ind w:left="207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POWERS OF ATTORNEY (AMENDMENT)</w:t>
      </w:r>
    </w:p>
    <w:p>
      <w:pPr>
        <w:autoSpaceDN w:val="0"/>
        <w:autoSpaceDE w:val="0"/>
        <w:widowControl/>
        <w:spacing w:line="367" w:lineRule="auto" w:before="464" w:after="0"/>
        <w:ind w:left="4176" w:right="417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374" w:after="0"/>
        <w:ind w:left="198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Powers of Attorney Ordinance (Chapter 122)</w:t>
      </w:r>
    </w:p>
    <w:p>
      <w:pPr>
        <w:autoSpaceDN w:val="0"/>
        <w:tabs>
          <w:tab w:pos="2212" w:val="left"/>
          <w:tab w:pos="2506" w:val="left"/>
          <w:tab w:pos="2604" w:val="left"/>
          <w:tab w:pos="2710" w:val="left"/>
          <w:tab w:pos="2978" w:val="left"/>
          <w:tab w:pos="3744" w:val="left"/>
          <w:tab w:pos="3750" w:val="left"/>
        </w:tabs>
        <w:autoSpaceDE w:val="0"/>
        <w:widowControl/>
        <w:spacing w:line="396" w:lineRule="auto" w:before="472" w:after="0"/>
        <w:ind w:left="1344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Constitutional Reforms on 29th of August,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July 18, 2022)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137]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3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94" w:after="0"/>
        <w:ind w:left="1430" w:right="1350" w:firstLine="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 of the Powers of Attorney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122)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is to expand the meanings of the definitions of the expressions “power of </w:t>
      </w:r>
      <w:r>
        <w:rPr>
          <w:rFonts w:ascii="Times" w:hAnsi="Times" w:eastAsia="Times"/>
          <w:b w:val="0"/>
          <w:i w:val="0"/>
          <w:color w:val="000000"/>
          <w:sz w:val="16"/>
        </w:rPr>
        <w:t>attorney” and “Registrar General”.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3 of the principal enactment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is to make registration compulsory for all power of attorney irrespective of the </w:t>
      </w:r>
      <w:r>
        <w:rPr>
          <w:rFonts w:ascii="Times" w:hAnsi="Times" w:eastAsia="Times"/>
          <w:b w:val="0"/>
          <w:i w:val="0"/>
          <w:color w:val="000000"/>
          <w:sz w:val="16"/>
        </w:rPr>
        <w:t>place of execution.</w:t>
      </w:r>
    </w:p>
    <w:p>
      <w:pPr>
        <w:autoSpaceDN w:val="0"/>
        <w:autoSpaceDE w:val="0"/>
        <w:widowControl/>
        <w:spacing w:line="245" w:lineRule="auto" w:before="202" w:after="0"/>
        <w:ind w:left="1430" w:right="129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new sections 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, 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, 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and </w:t>
      </w:r>
      <w:r>
        <w:rPr>
          <w:rFonts w:ascii="Times" w:hAnsi="Times" w:eastAsia="Times"/>
          <w:b w:val="0"/>
          <w:i w:val="0"/>
          <w:color w:val="000000"/>
          <w:sz w:val="16"/>
        </w:rPr>
        <w:t>the legal effect of the section is to –</w:t>
      </w:r>
    </w:p>
    <w:p>
      <w:pPr>
        <w:autoSpaceDN w:val="0"/>
        <w:autoSpaceDE w:val="0"/>
        <w:widowControl/>
        <w:spacing w:line="247" w:lineRule="auto" w:before="202" w:after="0"/>
        <w:ind w:left="2510" w:right="1350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set out a new procedure for registering a power of attorney relating to a </w:t>
      </w:r>
      <w:r>
        <w:rPr>
          <w:rFonts w:ascii="Times" w:hAnsi="Times" w:eastAsia="Times"/>
          <w:b w:val="0"/>
          <w:i w:val="0"/>
          <w:color w:val="000000"/>
          <w:sz w:val="16"/>
        </w:rPr>
        <w:t>transaction which falls within the scope of the Prevention of Frauds Ordi-</w:t>
      </w:r>
      <w:r>
        <w:rPr>
          <w:rFonts w:ascii="Times" w:hAnsi="Times" w:eastAsia="Times"/>
          <w:b w:val="0"/>
          <w:i w:val="0"/>
          <w:color w:val="000000"/>
          <w:sz w:val="16"/>
        </w:rPr>
        <w:t>nance;</w:t>
      </w:r>
    </w:p>
    <w:p>
      <w:pPr>
        <w:autoSpaceDN w:val="0"/>
        <w:tabs>
          <w:tab w:pos="2510" w:val="left"/>
        </w:tabs>
        <w:autoSpaceDE w:val="0"/>
        <w:widowControl/>
        <w:spacing w:line="245" w:lineRule="auto" w:before="202" w:after="0"/>
        <w:ind w:left="21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require the notary public to verify the validity of a power of attorney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 the attestation of a deed or instrument;</w:t>
      </w:r>
    </w:p>
    <w:p>
      <w:pPr>
        <w:autoSpaceDN w:val="0"/>
        <w:autoSpaceDE w:val="0"/>
        <w:widowControl/>
        <w:spacing w:line="238" w:lineRule="auto" w:before="202" w:after="0"/>
        <w:ind w:left="21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 specify the validity period of a power of attorney;</w:t>
      </w:r>
    </w:p>
    <w:p>
      <w:pPr>
        <w:autoSpaceDN w:val="0"/>
        <w:autoSpaceDE w:val="0"/>
        <w:widowControl/>
        <w:spacing w:line="238" w:lineRule="auto" w:before="202" w:after="0"/>
        <w:ind w:left="21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) restrict the execution of an irrevocable power of attorney.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repeals and replaces the section 4 of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section is to simplify the procedure for cancellation or revocation of a </w:t>
      </w:r>
      <w:r>
        <w:rPr>
          <w:rFonts w:ascii="Times" w:hAnsi="Times" w:eastAsia="Times"/>
          <w:b w:val="0"/>
          <w:i w:val="0"/>
          <w:color w:val="000000"/>
          <w:sz w:val="16"/>
        </w:rPr>
        <w:t>power of attorney.</w:t>
      </w:r>
    </w:p>
    <w:p>
      <w:pPr>
        <w:autoSpaceDN w:val="0"/>
        <w:autoSpaceDE w:val="0"/>
        <w:widowControl/>
        <w:spacing w:line="238" w:lineRule="auto" w:before="2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is consequential to the amendment made by Clause 7.</w:t>
      </w:r>
    </w:p>
    <w:p>
      <w:pPr>
        <w:autoSpaceDN w:val="0"/>
        <w:autoSpaceDE w:val="0"/>
        <w:widowControl/>
        <w:spacing w:line="238" w:lineRule="auto" w:before="2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is consequential to the amendment made by Clause 3.</w:t>
      </w:r>
    </w:p>
    <w:p>
      <w:pPr>
        <w:autoSpaceDN w:val="0"/>
        <w:autoSpaceDE w:val="0"/>
        <w:widowControl/>
        <w:spacing w:line="238" w:lineRule="auto" w:before="2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is consequential to the amendment made by Clause 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35/2016</w:t>
      </w:r>
    </w:p>
    <w:p>
      <w:pPr>
        <w:autoSpaceDN w:val="0"/>
        <w:autoSpaceDE w:val="0"/>
        <w:widowControl/>
        <w:spacing w:line="247" w:lineRule="auto" w:before="26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122)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266" w:after="196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Powers of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Powers of Attorney Ordinance (Chapter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122)  (hereinafter referred to as the “principal enactment”)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Chapter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“power of attorney” and the substitution therefor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definition: -</w:t>
      </w:r>
    </w:p>
    <w:p>
      <w:pPr>
        <w:autoSpaceDN w:val="0"/>
        <w:tabs>
          <w:tab w:pos="2698" w:val="left"/>
          <w:tab w:pos="3178" w:val="left"/>
        </w:tabs>
        <w:autoSpaceDE w:val="0"/>
        <w:widowControl/>
        <w:spacing w:line="257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“power of attorney” means any written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authority other than that given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at law, given by one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to perform any work, do any act,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 on any trade or business, and -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48" w:after="204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it is executed in Sri Lanka, executed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two witnesses and attested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notary public; 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it is executed outside Sri Lanka,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executed before two witnesses and an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Ambassador, or a High Commissioner,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Diplomatic Officer or a Consular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within the meaning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Consular Functions Act, No. 4 of 1981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person who is authorized to attest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 of attorney according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law of that country;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Powers of Attorney (Amendment)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“Registrar General” and the substitution therefor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definition: -</w:t>
      </w:r>
    </w:p>
    <w:p>
      <w:pPr>
        <w:autoSpaceDN w:val="0"/>
        <w:tabs>
          <w:tab w:pos="1406" w:val="left"/>
          <w:tab w:pos="2542" w:val="left"/>
          <w:tab w:pos="2902" w:val="left"/>
        </w:tabs>
        <w:autoSpaceDE w:val="0"/>
        <w:widowControl/>
        <w:spacing w:line="283" w:lineRule="auto" w:before="326" w:after="25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““Registrar General” includes the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Title, a Senior Deputy Registrar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a Deputy Registrar General,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Registrar General and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for the time being is lawfully discharging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the Registrar General,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 of Title, the Senior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General, Deputy Registrar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the Assistant Registrar 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62" w:lineRule="auto" w:before="76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“Registration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3.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power of attorney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Power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executed in Sri Lanka or any other country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registered with the Registrar General.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4" w:val="left"/>
          <w:tab w:pos="3024" w:val="left"/>
        </w:tabs>
        <w:autoSpaceDE w:val="0"/>
        <w:widowControl/>
        <w:spacing w:line="281" w:lineRule="auto" w:before="26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power of attorney holder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“attorney”)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his power of attorney for registration,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executed in Sri Lanka within one month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it is executed outside Sri Lanka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months, from the date of execution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 of attorney together with –</w:t>
      </w:r>
    </w:p>
    <w:p>
      <w:pPr>
        <w:autoSpaceDN w:val="0"/>
        <w:tabs>
          <w:tab w:pos="3444" w:val="left"/>
          <w:tab w:pos="3724" w:val="left"/>
        </w:tabs>
        <w:autoSpaceDE w:val="0"/>
        <w:widowControl/>
        <w:spacing w:line="262" w:lineRule="auto" w:before="32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copy thereof certified by a notary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to be a true copy; and</w:t>
      </w:r>
    </w:p>
    <w:p>
      <w:pPr>
        <w:autoSpaceDN w:val="0"/>
        <w:tabs>
          <w:tab w:pos="3724" w:val="left"/>
        </w:tabs>
        <w:autoSpaceDE w:val="0"/>
        <w:widowControl/>
        <w:spacing w:line="262" w:lineRule="auto" w:before="326" w:after="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 affidavit made as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I 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84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508" w:val="left"/>
          <w:tab w:pos="2878" w:val="left"/>
          <w:tab w:pos="3118" w:val="left"/>
        </w:tabs>
        <w:autoSpaceDE w:val="0"/>
        <w:widowControl/>
        <w:spacing w:line="278" w:lineRule="auto" w:before="50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Registrar General shall, upon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as to the correctness of the power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referred to in subsection (1), register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of attorney and file such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and shall endorse upon such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and the original power of attorney,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number and the date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 reference to the volume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folio wherein such registration is recorded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return the original power of attorney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 producing the same.</w:t>
      </w:r>
    </w:p>
    <w:p>
      <w:pPr>
        <w:autoSpaceDN w:val="0"/>
        <w:autoSpaceDE w:val="0"/>
        <w:widowControl/>
        <w:spacing w:line="266" w:lineRule="auto" w:before="312" w:after="1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registration shall be recorded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maintained by the Registrar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is to be kept in the form specified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II hereto.”.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</w:tr>
      <w:tr>
        <w:trPr>
          <w:trHeight w:hRule="exact" w:val="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of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in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18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Attorney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used for the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0" w:after="0"/>
              <w:ind w:left="15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power of attorney granted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used for the purpose of a transaction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falls within the scope of section 2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purpose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transaction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falling within</w:t>
            </w:r>
          </w:p>
        </w:tc>
        <w:tc>
          <w:tcPr>
            <w:tcW w:type="dxa" w:w="3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Prevention of Frauds Ordinance (Chapter 70)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executed subject to the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scope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subsection (2) or (3), as the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Prevention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7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Frauds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Ordinance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comply with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8" w:after="0"/>
              <w:ind w:left="9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If a power of attorney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is executed in Sri Lanka, it shall 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61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certain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requirements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Powers of Attorney (Amendment)</w:t>
      </w:r>
    </w:p>
    <w:p>
      <w:pPr>
        <w:autoSpaceDN w:val="0"/>
        <w:tabs>
          <w:tab w:pos="3664" w:val="left"/>
        </w:tabs>
        <w:autoSpaceDE w:val="0"/>
        <w:widowControl/>
        <w:spacing w:line="266" w:lineRule="auto" w:before="500" w:after="246"/>
        <w:ind w:left="32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duly attested by a notary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Notaries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107)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Prevention of Frauds Ordinance;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description of the land or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44"/>
        <w:ind w:left="3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as the case may be,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metes and bounds, and the extent,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 land or land parcel;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description of the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condominium parcel with other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22"/>
        <w:ind w:left="3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elements by which it can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identified, and a description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land where the condominium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parcel cannot be identified;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reference to the volume</w:t>
            </w:r>
          </w:p>
        </w:tc>
      </w:tr>
    </w:tbl>
    <w:p>
      <w:pPr>
        <w:autoSpaceDN w:val="0"/>
        <w:tabs>
          <w:tab w:pos="3664" w:val="left"/>
        </w:tabs>
        <w:autoSpaceDE w:val="0"/>
        <w:widowControl/>
        <w:spacing w:line="271" w:lineRule="auto" w:before="2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folio in which the land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or condominium parcel,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transaction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in the case of a land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or condominium parcel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prior registration;</w:t>
      </w:r>
    </w:p>
    <w:p>
      <w:pPr>
        <w:autoSpaceDN w:val="0"/>
        <w:tabs>
          <w:tab w:pos="3244" w:val="left"/>
          <w:tab w:pos="3664" w:val="left"/>
        </w:tabs>
        <w:autoSpaceDE w:val="0"/>
        <w:widowControl/>
        <w:spacing w:line="271" w:lineRule="auto" w:before="30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 the left or right thumb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the grantor and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thumbs of the grantor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missing, the impression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finger from either the left or the right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of the grantor, in addition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signature and where both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hands are missing, he shall place his</w:t>
      </w:r>
    </w:p>
    <w:p>
      <w:pPr>
        <w:autoSpaceDN w:val="0"/>
        <w:tabs>
          <w:tab w:pos="3664" w:val="left"/>
        </w:tabs>
        <w:autoSpaceDE w:val="0"/>
        <w:widowControl/>
        <w:spacing w:line="257" w:lineRule="auto" w:before="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toe impression, in the presence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notary public and the witnesses;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84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758" w:val="left"/>
        </w:tabs>
        <w:autoSpaceDE w:val="0"/>
        <w:widowControl/>
        <w:spacing w:line="266" w:lineRule="auto" w:before="500" w:after="0"/>
        <w:ind w:left="33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accompanied with a copy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 page of the passport,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 or driving license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grantor and attorney of such</w:t>
      </w:r>
    </w:p>
    <w:p>
      <w:pPr>
        <w:autoSpaceDN w:val="0"/>
        <w:tabs>
          <w:tab w:pos="3758" w:val="left"/>
        </w:tabs>
        <w:autoSpaceDE w:val="0"/>
        <w:widowControl/>
        <w:spacing w:line="257" w:lineRule="auto" w:before="40" w:after="0"/>
        <w:ind w:left="15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attorney certified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notary public.</w:t>
      </w:r>
    </w:p>
    <w:p>
      <w:pPr>
        <w:autoSpaceDN w:val="0"/>
        <w:autoSpaceDE w:val="0"/>
        <w:widowControl/>
        <w:spacing w:line="264" w:lineRule="auto" w:before="306" w:after="24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 power of attorney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executed outside Sri Lanka,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duly executed before a person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37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under section 2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3338" w:val="left"/>
          <w:tab w:pos="3758" w:val="left"/>
        </w:tabs>
        <w:autoSpaceDE w:val="0"/>
        <w:widowControl/>
        <w:spacing w:line="269" w:lineRule="auto" w:before="302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description of the land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as the case may be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metes and bounds and the extent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of a land or land parcel;</w:t>
      </w:r>
    </w:p>
    <w:p>
      <w:pPr>
        <w:autoSpaceDN w:val="0"/>
        <w:tabs>
          <w:tab w:pos="3338" w:val="left"/>
          <w:tab w:pos="3758" w:val="left"/>
        </w:tabs>
        <w:autoSpaceDE w:val="0"/>
        <w:widowControl/>
        <w:spacing w:line="271" w:lineRule="auto" w:before="302" w:after="24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description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with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elements by which it can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identified, and a description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land where the condominium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cannot be identified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a condominium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reference to the volume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folio in which the land or land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3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or condominium parcel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transaction,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registered, in the case of a land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 parcel or condominium parcel</w:t>
      </w:r>
    </w:p>
    <w:p>
      <w:pPr>
        <w:autoSpaceDN w:val="0"/>
        <w:tabs>
          <w:tab w:pos="3758" w:val="left"/>
        </w:tabs>
        <w:autoSpaceDE w:val="0"/>
        <w:widowControl/>
        <w:spacing w:line="276" w:lineRule="auto" w:before="4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prior registration;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Powers of Attorney (Amendment)</w:t>
      </w:r>
    </w:p>
    <w:p>
      <w:pPr>
        <w:autoSpaceDN w:val="0"/>
        <w:tabs>
          <w:tab w:pos="3244" w:val="left"/>
          <w:tab w:pos="3664" w:val="left"/>
        </w:tabs>
        <w:autoSpaceDE w:val="0"/>
        <w:widowControl/>
        <w:spacing w:line="262" w:lineRule="auto" w:before="492" w:after="222"/>
        <w:ind w:left="14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accompanied by a copy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 page of the passport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grantor certified by such grantor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copy of the bio page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passport, National Identity Card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driving license of the attorney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 of attorney certified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notary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Notary to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Every notary public who attests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verify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deed or instrument in terms of the Notaries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whether the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in respect of a transaction referred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has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this Act, shall –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 revoked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 the relevant volumes and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cancelled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to retain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folios in the Registrar General’s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copies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department;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satisfied that the power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98"/>
        <w:ind w:left="3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has not been revoked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cancelled and shall state such fact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his attestation;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retain the copies of the National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59" w:lineRule="auto" w:before="1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 or the driving license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bio page of the passport,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of the grantor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attorney, and a copy of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attorney.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avoidance of doubt, it is declared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it shall be sufficient for the notary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attests such deed or instrument to examine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volumes and the folios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General’s department in order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whether such power of attorney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revoked or cancelled.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 power of attorney other than a power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validation of</w:t>
            </w:r>
          </w:p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attorney executed by a state institution shall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power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valid, only for a period of five years from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execution, unless the period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validity of such power of attorney is specified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power of attorney or until such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is revoked or cancelled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Irrevocable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  <w:tc>
          <w:tcPr>
            <w:tcW w:type="dxa" w:w="3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6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 person other than a state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execute an irrevocable power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principal enactment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9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“Procedure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4. (1) Where the grantor of any power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49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power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78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wishes to revoke or cancel a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or where the attorney of any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does not wish to act under such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attorney, such grantor or attorney as the case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attorney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be, shall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notify the other party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0" w:after="4"/>
        <w:ind w:left="37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execute a notarially executed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declaring his intention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revoking or cancelling the power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or expressing his intention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to act under that power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attorney, as the case may be; and</w:t>
      </w:r>
    </w:p>
    <w:p>
      <w:pPr>
        <w:autoSpaceDN w:val="0"/>
        <w:autoSpaceDE w:val="0"/>
        <w:widowControl/>
        <w:spacing w:line="235" w:lineRule="auto" w:before="24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 submit such document referred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10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3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the Registrar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 to register the same in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volume and folio with cross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reference to the volume and folio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power of attorney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Powers of Attorney (Amendment)</w:t>
      </w:r>
    </w:p>
    <w:p>
      <w:pPr>
        <w:autoSpaceDN w:val="0"/>
        <w:tabs>
          <w:tab w:pos="1444" w:val="left"/>
          <w:tab w:pos="2782" w:val="left"/>
          <w:tab w:pos="3022" w:val="left"/>
        </w:tabs>
        <w:autoSpaceDE w:val="0"/>
        <w:widowControl/>
        <w:spacing w:line="247" w:lineRule="auto" w:before="480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grantor of any power of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requires to revoke or cancel his power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with immediate effect, until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executed and tendered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General, the grantor or his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law may notify his intention of revocation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cancellation to the Registrar General,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in duplicate in the form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III:</w:t>
      </w:r>
    </w:p>
    <w:p>
      <w:pPr>
        <w:autoSpaceDN w:val="0"/>
        <w:autoSpaceDE w:val="0"/>
        <w:widowControl/>
        <w:spacing w:line="245" w:lineRule="auto" w:before="248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such notice shall be valid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only for a period of three months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notice.</w:t>
      </w:r>
    </w:p>
    <w:p>
      <w:pPr>
        <w:autoSpaceDN w:val="0"/>
        <w:autoSpaceDE w:val="0"/>
        <w:widowControl/>
        <w:spacing w:line="238" w:lineRule="auto" w:before="24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Upon the receipt of such a notice 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), the Registrar General,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an endorsement of the intention of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19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or cancellation in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volumes and the folios.”.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“prescribed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Schedule.” of the words “prescribed in Schedule II.” 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134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6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Schedule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Schedules are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Schedule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5" w:lineRule="auto" w:before="24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3(1)]</w:t>
      </w:r>
    </w:p>
    <w:p>
      <w:pPr>
        <w:autoSpaceDN w:val="0"/>
        <w:tabs>
          <w:tab w:pos="8844" w:val="left"/>
        </w:tabs>
        <w:autoSpaceDE w:val="0"/>
        <w:widowControl/>
        <w:spacing w:line="350" w:lineRule="auto" w:before="210" w:after="0"/>
        <w:ind w:left="35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“SCHEDULE 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}</w:t>
      </w:r>
    </w:p>
    <w:p>
      <w:pPr>
        <w:autoSpaceDN w:val="0"/>
        <w:autoSpaceDE w:val="0"/>
        <w:widowControl/>
        <w:spacing w:line="238" w:lineRule="auto" w:before="2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 ………………………………… (holder of National Identity</w:t>
      </w:r>
    </w:p>
    <w:p>
      <w:pPr>
        <w:autoSpaceDN w:val="0"/>
        <w:autoSpaceDE w:val="0"/>
        <w:widowControl/>
        <w:spacing w:line="235" w:lineRule="auto" w:before="56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Card No. ..…….,of No. …………………………..being a</w:t>
      </w:r>
    </w:p>
    <w:p>
      <w:pPr>
        <w:autoSpaceDN w:val="0"/>
        <w:autoSpaceDE w:val="0"/>
        <w:widowControl/>
        <w:spacing w:line="235" w:lineRule="auto" w:before="58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…………………………. do hereby sincerely, solemnly and</w:t>
      </w:r>
    </w:p>
    <w:p>
      <w:pPr>
        <w:autoSpaceDN w:val="0"/>
        <w:autoSpaceDE w:val="0"/>
        <w:widowControl/>
        <w:spacing w:line="235" w:lineRule="auto" w:before="60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truly declare and affirm/make oath and state as follows: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 am the deponent/affirmant above named.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 declare/ affirm that ………………………(holder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26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National Identity Card No. ………………………….)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……………..has executed a power of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bearing No. …………… dated ………………… attested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…………………..Notary Public, appointing me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his/her attorney for the purpose mentioned therein.</w:t>
      </w:r>
    </w:p>
    <w:p>
      <w:pPr>
        <w:autoSpaceDN w:val="0"/>
        <w:tabs>
          <w:tab w:pos="2618" w:val="left"/>
          <w:tab w:pos="5082" w:val="left"/>
        </w:tabs>
        <w:autoSpaceDE w:val="0"/>
        <w:widowControl/>
        <w:spacing w:line="247" w:lineRule="auto" w:before="202" w:after="6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the said power of attorney is genuine and still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force and I believe that the grantor is alive.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……………………..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foregoing affidavit having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7010" cy="82677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826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</w:tr>
      <w:tr>
        <w:trPr>
          <w:trHeight w:hRule="exact" w:val="18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 read over and explained to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above named and having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understood the contents thereof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signed and affirmed/sworn to at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…………….. on this ……..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day of ……………….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6" w:after="0"/>
        <w:ind w:left="0" w:right="30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Before me</w:t>
      </w:r>
    </w:p>
    <w:p>
      <w:pPr>
        <w:autoSpaceDN w:val="0"/>
        <w:autoSpaceDE w:val="0"/>
        <w:widowControl/>
        <w:spacing w:line="245" w:lineRule="auto" w:before="202" w:after="0"/>
        <w:ind w:left="475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Justice of the Peace/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Commissioner for Oaths</w:t>
      </w:r>
    </w:p>
    <w:p>
      <w:pPr>
        <w:autoSpaceDN w:val="0"/>
        <w:autoSpaceDE w:val="0"/>
        <w:widowControl/>
        <w:spacing w:line="238" w:lineRule="auto" w:before="20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3(3) and 5]</w:t>
      </w:r>
    </w:p>
    <w:p>
      <w:pPr>
        <w:autoSpaceDN w:val="0"/>
        <w:autoSpaceDE w:val="0"/>
        <w:widowControl/>
        <w:spacing w:line="238" w:lineRule="auto" w:before="202" w:after="108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2.0" w:type="dxa"/>
      </w:tblPr>
      <w:tblGrid>
        <w:gridCol w:w="4510"/>
        <w:gridCol w:w="4510"/>
      </w:tblGrid>
      <w:tr>
        <w:trPr>
          <w:trHeight w:hRule="exact" w:val="300"/>
        </w:trPr>
        <w:tc>
          <w:tcPr>
            <w:tcW w:type="dxa" w:w="2698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Serial No.</w:t>
            </w:r>
          </w:p>
        </w:tc>
        <w:tc>
          <w:tcPr>
            <w:tcW w:type="dxa" w:w="195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8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 Registration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and address of the grantor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and address of the attorney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 power of attorney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whom the power of attorney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produced for the registration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8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Volume and Folio where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attorney is registered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8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Date and number of notarially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executed document  of revocation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cancellation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8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8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whom notarially executed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 of revocation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 given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269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Volume and Folio where notarially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executed document of revocation or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 is registered</w:t>
            </w:r>
          </w:p>
        </w:tc>
        <w:tc>
          <w:tcPr>
            <w:tcW w:type="dxa" w:w="19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Powers of Attorney (Amendment)</w:t>
      </w:r>
    </w:p>
    <w:p>
      <w:pPr>
        <w:autoSpaceDN w:val="0"/>
        <w:autoSpaceDE w:val="0"/>
        <w:widowControl/>
        <w:spacing w:line="238" w:lineRule="auto" w:before="48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4(2)]</w:t>
      </w:r>
    </w:p>
    <w:p>
      <w:pPr>
        <w:autoSpaceDN w:val="0"/>
        <w:autoSpaceDE w:val="0"/>
        <w:widowControl/>
        <w:spacing w:line="235" w:lineRule="auto" w:before="198" w:after="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III</w:t>
      </w:r>
    </w:p>
    <w:p>
      <w:pPr>
        <w:autoSpaceDN w:val="0"/>
        <w:autoSpaceDE w:val="0"/>
        <w:widowControl/>
        <w:spacing w:line="245" w:lineRule="auto" w:before="202" w:after="0"/>
        <w:ind w:left="2182" w:right="446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Registrar General,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Registrar General’s Department,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</w:t>
      </w:r>
    </w:p>
    <w:p>
      <w:pPr>
        <w:autoSpaceDN w:val="0"/>
        <w:autoSpaceDE w:val="0"/>
        <w:widowControl/>
        <w:spacing w:line="247" w:lineRule="auto" w:before="198" w:after="0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Take notice under the Power of Attorney Ordinance that I,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………………………………. (name of the grantor) of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……………………………..(address)  intend to present to you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registration within three months from the date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notice, an instrument cancelling the power of attorney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 the ……………………under the Day Book No. 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Volume ………. Folio…….. of the register of the power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attorney.</w:t>
      </w:r>
    </w:p>
    <w:p>
      <w:pPr>
        <w:autoSpaceDN w:val="0"/>
        <w:autoSpaceDE w:val="0"/>
        <w:widowControl/>
        <w:spacing w:line="245" w:lineRule="auto" w:before="198" w:after="0"/>
        <w:ind w:left="218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At ………………. on this day of ……………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………</w:t>
      </w:r>
    </w:p>
    <w:p>
      <w:pPr>
        <w:autoSpaceDN w:val="0"/>
        <w:autoSpaceDE w:val="0"/>
        <w:widowControl/>
        <w:spacing w:line="245" w:lineRule="auto" w:before="198" w:after="0"/>
        <w:ind w:left="360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grantor or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 law of the grantor</w:t>
      </w:r>
    </w:p>
    <w:p>
      <w:pPr>
        <w:autoSpaceDN w:val="0"/>
        <w:autoSpaceDE w:val="0"/>
        <w:widowControl/>
        <w:spacing w:line="238" w:lineRule="auto" w:before="19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signed in the presence of  -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198" w:after="0"/>
        <w:ind w:left="2386" w:right="54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Full name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NIC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Address :-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198" w:after="320"/>
        <w:ind w:left="2386" w:right="54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Full name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NIC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Address :-”.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9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 and in the provisions of this Act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0" w:after="2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every power of attorney executed prior to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 which has not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under the provisions of section 3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enactment and which has not been revoked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cancelled on or prior to the date of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shall, within a period of six months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date of commencement of this Act, be submitted</w:t>
      </w:r>
    </w:p>
    <w:p>
      <w:pPr>
        <w:autoSpaceDN w:val="0"/>
        <w:tabs>
          <w:tab w:pos="2302" w:val="left"/>
        </w:tabs>
        <w:autoSpaceDE w:val="0"/>
        <w:widowControl/>
        <w:spacing w:line="262" w:lineRule="auto" w:before="1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registration to the Registrar General;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84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47" w:lineRule="auto" w:before="48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power of attorney executed prior to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which has been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section 3 of the principal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 and has not been revoked or cancelled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prior to the date of commencement of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continue to be valid and effectual until revoked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cancelled under section 4 of this Act;</w:t>
      </w:r>
    </w:p>
    <w:p>
      <w:pPr>
        <w:autoSpaceDN w:val="0"/>
        <w:autoSpaceDE w:val="0"/>
        <w:widowControl/>
        <w:spacing w:line="235" w:lineRule="auto" w:before="254" w:after="6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every power of attorney executed prior to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 which has been submitted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registration to the Registrar General, and pending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3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under the provisions of section 3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enactment on the date of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registered by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Every power of attorney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which is not submitted for registration within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specified in that paragraph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null and void, with effect from the date of expiration of that </w:t>
      </w:r>
      <w:r>
        <w:rPr>
          <w:rFonts w:ascii="Times" w:hAnsi="Times" w:eastAsia="Times"/>
          <w:b w:val="0"/>
          <w:i w:val="0"/>
          <w:color w:val="221F1F"/>
          <w:sz w:val="20"/>
        </w:rPr>
        <w:t>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9212"/>
        </w:trPr>
        <w:tc>
          <w:tcPr>
            <w:tcW w:type="dxa" w:w="98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2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Powers of Attorney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