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74" w:after="0"/>
        <w:ind w:left="2016" w:right="2160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HIGH COURT OF THE PROVINCES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(SPECIAL PROVISIONS) (AMENDMENT)</w:t>
      </w:r>
    </w:p>
    <w:p>
      <w:pPr>
        <w:autoSpaceDN w:val="0"/>
        <w:autoSpaceDE w:val="0"/>
        <w:widowControl/>
        <w:spacing w:line="238" w:lineRule="auto" w:before="346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94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486" w:after="0"/>
        <w:ind w:left="1728" w:right="1872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High Court of the Provinces (Special Provisions) </w:t>
      </w:r>
      <w:r>
        <w:rPr>
          <w:rFonts w:ascii="Times" w:hAnsi="Times" w:eastAsia="Times"/>
          <w:b/>
          <w:i w:val="0"/>
          <w:color w:val="000000"/>
          <w:sz w:val="20"/>
        </w:rPr>
        <w:t>Act, No. 19 of 1990</w:t>
      </w:r>
    </w:p>
    <w:p>
      <w:pPr>
        <w:autoSpaceDN w:val="0"/>
        <w:autoSpaceDE w:val="0"/>
        <w:widowControl/>
        <w:spacing w:line="238" w:lineRule="auto" w:before="17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31st of August, 2022</w:t>
      </w:r>
    </w:p>
    <w:p>
      <w:pPr>
        <w:autoSpaceDN w:val="0"/>
        <w:autoSpaceDE w:val="0"/>
        <w:widowControl/>
        <w:spacing w:line="235" w:lineRule="auto" w:before="25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10,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145]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204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>This clause amends section 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High Court of the Provinces (Special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Provisions) Act, No. 19 of 1990, and the legal effect of the amendment is to enable the </w:t>
      </w:r>
      <w:r>
        <w:rPr>
          <w:rFonts w:ascii="Times" w:hAnsi="Times" w:eastAsia="Times"/>
          <w:b w:val="0"/>
          <w:i w:val="0"/>
          <w:color w:val="000000"/>
          <w:sz w:val="16"/>
        </w:rPr>
        <w:t>High Court of the Provinces to hear the appeals from the Small Claims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High Court of the Provinces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2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62/2021</w:t>
      </w:r>
    </w:p>
    <w:p>
      <w:pPr>
        <w:autoSpaceDN w:val="0"/>
        <w:autoSpaceDE w:val="0"/>
        <w:widowControl/>
        <w:spacing w:line="245" w:lineRule="auto" w:before="214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IGH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OURT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1990</w:t>
      </w:r>
    </w:p>
    <w:p>
      <w:pPr>
        <w:autoSpaceDN w:val="0"/>
        <w:autoSpaceDE w:val="0"/>
        <w:widowControl/>
        <w:spacing w:line="245" w:lineRule="auto" w:before="214" w:after="15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High Court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Provinces (Special Provisions) (Amendment) Act, No.    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2022.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14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shall come into operation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High Court of the Provinces (Special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Provisions) Act, No. 19 of 1990 is hereby amended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19 of</w:t>
            </w:r>
          </w:p>
        </w:tc>
      </w:tr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thereof, by the substitution for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1990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“District Court or a Family Court”,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“District Court, Family Court or Small Claims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Court” and for the words “ District Court or Family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Court”, of the words “of a District Court, of a Family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or of a Small Claims Court”;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“of a District Court or a Family Court,”,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“of a District Court, of a Family Court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Small Claims Court,” wherever they occur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subsection;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marginal note to that section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“District Courts and Family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Courts.”,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“District Courts, Family Courts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64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Small Claims Courts.”.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High Court of the Provinces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8776" w:after="0"/>
        <w:ind w:left="0" w:right="3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