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9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PETROLEUM PRODUCTS (SPECIAL PROVISIONS) </w:t>
      </w:r>
      <w:r>
        <w:rPr>
          <w:rFonts w:ascii="Times" w:hAnsi="Times" w:eastAsia="Times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428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194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486" w:after="0"/>
        <w:ind w:left="2160" w:right="216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amend the Petroleum Products (Special Provisions) </w:t>
      </w:r>
      <w:r>
        <w:rPr>
          <w:rFonts w:ascii="Times" w:hAnsi="Times" w:eastAsia="Times"/>
          <w:b/>
          <w:i w:val="0"/>
          <w:color w:val="000000"/>
          <w:sz w:val="20"/>
        </w:rPr>
        <w:t>Act, No. 33 of 2002</w:t>
      </w:r>
    </w:p>
    <w:p>
      <w:pPr>
        <w:autoSpaceDN w:val="0"/>
        <w:autoSpaceDE w:val="0"/>
        <w:widowControl/>
        <w:spacing w:line="238" w:lineRule="auto" w:before="17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448" w:right="259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Power and Energy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 xml:space="preserve"> on 31st of August, 2022</w:t>
      </w:r>
    </w:p>
    <w:p>
      <w:pPr>
        <w:autoSpaceDN w:val="0"/>
        <w:autoSpaceDE w:val="0"/>
        <w:widowControl/>
        <w:spacing w:line="235" w:lineRule="auto" w:before="254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12, 2022)</w:t>
      </w:r>
    </w:p>
    <w:p>
      <w:pPr>
        <w:autoSpaceDN w:val="0"/>
        <w:autoSpaceDE w:val="0"/>
        <w:widowControl/>
        <w:spacing w:line="235" w:lineRule="auto" w:before="25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147]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6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the long title to the Petroleum Products (Special Provisions)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33 of 2002 (hereinafter referred to as the “principal enactment”)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by clause 4.</w:t>
      </w:r>
    </w:p>
    <w:p>
      <w:pPr>
        <w:autoSpaceDN w:val="0"/>
        <w:autoSpaceDE w:val="0"/>
        <w:widowControl/>
        <w:spacing w:line="238" w:lineRule="auto" w:before="202" w:after="0"/>
        <w:ind w:left="16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000000"/>
          <w:sz w:val="16"/>
        </w:rPr>
        <w:t>This clause is consequential to the amendment made by clause 4.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replaces section 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replaced is to make provision for the Committee appointed by the Cabinet </w:t>
      </w:r>
      <w:r>
        <w:rPr>
          <w:rFonts w:ascii="Times" w:hAnsi="Times" w:eastAsia="Times"/>
          <w:b w:val="0"/>
          <w:i w:val="0"/>
          <w:color w:val="000000"/>
          <w:sz w:val="16"/>
        </w:rPr>
        <w:t>of Ministers, to be vested with the powers under the principal enactment.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5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this section as amended is to substitute the words “the Minister” for the words “Minister </w:t>
      </w:r>
      <w:r>
        <w:rPr>
          <w:rFonts w:ascii="Times" w:hAnsi="Times" w:eastAsia="Times"/>
          <w:b w:val="0"/>
          <w:i w:val="0"/>
          <w:color w:val="000000"/>
          <w:sz w:val="16"/>
        </w:rPr>
        <w:t>in charge of the subject of Power and Energy”.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6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this section as amended is to insert the new definition of the expression “Minister” 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remove the definition of the expression “Energy Supply Committee” consequential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amendment made by clause 4.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provides validity for the powers exercised and acts done prior to </w:t>
      </w:r>
      <w:r>
        <w:rPr>
          <w:rFonts w:ascii="Times" w:hAnsi="Times" w:eastAsia="Times"/>
          <w:b w:val="0"/>
          <w:i w:val="0"/>
          <w:color w:val="000000"/>
          <w:sz w:val="16"/>
        </w:rPr>
        <w:t>the commencement of the amending Act.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8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provides for transitional provisions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section is to extend the applicability of the provisions of the amending Act, to licences </w:t>
      </w:r>
      <w:r>
        <w:rPr>
          <w:rFonts w:ascii="Times" w:hAnsi="Times" w:eastAsia="Times"/>
          <w:b w:val="0"/>
          <w:i w:val="0"/>
          <w:color w:val="000000"/>
          <w:sz w:val="16"/>
        </w:rPr>
        <w:t>already issued under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Products (Special Provisions)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3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11/2022</w:t>
      </w:r>
    </w:p>
    <w:p>
      <w:pPr>
        <w:autoSpaceDN w:val="0"/>
        <w:autoSpaceDE w:val="0"/>
        <w:widowControl/>
        <w:spacing w:line="245" w:lineRule="auto" w:before="254" w:after="0"/>
        <w:ind w:left="1728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ETROLEUM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(S</w:t>
      </w:r>
      <w:r>
        <w:rPr>
          <w:rFonts w:ascii="Times" w:hAnsi="Times" w:eastAsia="Times"/>
          <w:b w:val="0"/>
          <w:i w:val="0"/>
          <w:color w:val="221F1F"/>
          <w:sz w:val="14"/>
        </w:rPr>
        <w:t>PECIAL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2002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Petroleum Products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 &amp;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(Special Provisions)  (Amendment) Act, No.       of 2022.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date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provisions of this Act other than this section shall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come into operation on such date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“appointed date”) as the Minister may appoint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long title of the Petroleum Products (Special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Provisions) Act, No. 33 of 2002 (hereinafter referred to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“principal enactment”) is hereby amended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to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33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IN THE ENERGY SUPPLY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2002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COMMITTEE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;”, of the words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IN THE COMMITTEE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APPOINTED BY THE CABINET OF MINISTERS</w:t>
      </w:r>
      <w:r>
        <w:rPr>
          <w:rFonts w:ascii="Times" w:hAnsi="Times" w:eastAsia="Times"/>
          <w:b w:val="0"/>
          <w:i w:val="0"/>
          <w:color w:val="221F1F"/>
          <w:sz w:val="20"/>
        </w:rPr>
        <w:t>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principal enactment and other written law,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“Energy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“Energy Supply Committee”,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Supply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Committee”</w:t>
            </w:r>
          </w:p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the principal enactment, shall be read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referred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as a reference to the “Committee appointed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as the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“Committee”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In any notice, communication, form, or other document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issued, made, required or authorized by or under the principal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enactment, every reference to “the Energy Supply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Committee”, shall be read and construed as a reference to </w:t>
      </w:r>
      <w:r>
        <w:rPr>
          <w:rFonts w:ascii="Times" w:hAnsi="Times" w:eastAsia="Times"/>
          <w:b w:val="0"/>
          <w:i w:val="0"/>
          <w:color w:val="221F1F"/>
          <w:sz w:val="20"/>
        </w:rPr>
        <w:t>the “Committee appointed under section 3”.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repealed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following section is substituted therefor: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3562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Petroleum Products (Special Provisions)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“Appointment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3. (1) There shall be a Committee appointed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Cabinet of Ministers (hereinafter referred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“Committee”), subject to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exercise,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perform and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succeeding provisions of this section to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discharge the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 and discharge the powers,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 and functions hereinafter set out.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Committee shall consist of the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 Act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194"/>
        <w:ind w:left="0" w:right="52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ex-officio members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–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42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Petroleum,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the Chairman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Treasury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42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 of Director-General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Treasury;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8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Chairman or Managing-Director</w:t>
            </w:r>
          </w:p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Ceylon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Petroleum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366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Corporation, established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Ceylon Petroleum Corporation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28 of 1961, nominated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members appointed from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persons who have achieved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6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eminence in the field of petroleum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industry or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A member of the Committee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(2), shall hold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for the period of two years from the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appointment unless such member resigns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58" w:val="left"/>
          <w:tab w:pos="6494" w:val="left"/>
        </w:tabs>
        <w:autoSpaceDE w:val="0"/>
        <w:widowControl/>
        <w:spacing w:line="254" w:lineRule="auto" w:before="0" w:after="0"/>
        <w:ind w:left="252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Petroleum Products (Special Provisions)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3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 by letter addressed to the Cabinet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or, is removed from office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Ministers, for reasons assigned.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47" w:lineRule="auto" w:before="254" w:after="194"/>
        <w:ind w:left="15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quorum for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shall be three members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may regulate the procedure,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meetings of the Committee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6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of that section, by the substitution for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“the Minister in charge of the subject of Power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Energy” of the words “the Minister”.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 of the principal enactment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“Ceylon Petroleum Corporation”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9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following new definition:–</w:t>
      </w:r>
    </w:p>
    <w:p>
      <w:pPr>
        <w:autoSpaceDN w:val="0"/>
        <w:tabs>
          <w:tab w:pos="2638" w:val="left"/>
          <w:tab w:pos="299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 the Minister assigned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and functions relating to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Article 44 or 45 of the Constitution.”;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“Energy Supply Committee”.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power exercised or any act done, by the Energy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Validity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Supply Committee prior to the date of commencement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acts done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prior to the</w:t>
            </w:r>
          </w:p>
        </w:tc>
      </w:tr>
      <w:tr>
        <w:trPr>
          <w:trHeight w:hRule="exact" w:val="1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in pursuance of any power conferred on it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commencement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 shall be deemed, for all purposes,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this Act</w:t>
            </w:r>
          </w:p>
        </w:tc>
      </w:tr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been validly exercised and done.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3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licence validly issued under the provisions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principal enactment and stated therein to continue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force for a period extending beyond the date of the coming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30" w:val="left"/>
          <w:tab w:pos="356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Petroleum Products (Special Provisions)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28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this Act, shall continue in force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so stated and every such licensee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Act and any other terms and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>which may be lawfully imposed under this Act and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regulation or rule made thereunder.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Petroleum Products (Special Provisions)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8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754" w:after="0"/>
        <w:ind w:left="0" w:right="337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