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8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20" w:after="0"/>
        <w:ind w:left="0" w:right="29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September 02, 2022</w:t>
      </w:r>
    </w:p>
    <w:p>
      <w:pPr>
        <w:autoSpaceDN w:val="0"/>
        <w:autoSpaceDE w:val="0"/>
        <w:widowControl/>
        <w:spacing w:line="332" w:lineRule="exact" w:before="24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2" w:lineRule="exact" w:before="240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07.09.2022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90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4" w:lineRule="exact" w:before="262" w:after="0"/>
        <w:ind w:left="152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SRI LANKA NATIONAL COMMISSION FOR UNESCO</w:t>
      </w:r>
    </w:p>
    <w:p>
      <w:pPr>
        <w:autoSpaceDN w:val="0"/>
        <w:autoSpaceDE w:val="0"/>
        <w:widowControl/>
        <w:spacing w:line="276" w:lineRule="exact" w:before="218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8" w:lineRule="exact" w:before="232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76" w:lineRule="exact" w:before="22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provide for the establishment of the Sri Lanka National Commission</w:t>
      </w:r>
    </w:p>
    <w:p>
      <w:pPr>
        <w:autoSpaceDN w:val="0"/>
        <w:autoSpaceDE w:val="0"/>
        <w:widowControl/>
        <w:spacing w:line="276" w:lineRule="exact" w:before="0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for  the  United  Nations  Educational,  Scientific  and  Cultural  Organization</w:t>
      </w:r>
    </w:p>
    <w:p>
      <w:pPr>
        <w:autoSpaceDN w:val="0"/>
        <w:autoSpaceDE w:val="0"/>
        <w:widowControl/>
        <w:spacing w:line="276" w:lineRule="exact" w:before="0" w:after="0"/>
        <w:ind w:left="161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(UNESCO); and for matters connected therewith or incidental thereto</w:t>
      </w:r>
    </w:p>
    <w:p>
      <w:pPr>
        <w:autoSpaceDN w:val="0"/>
        <w:autoSpaceDE w:val="0"/>
        <w:widowControl/>
        <w:spacing w:line="244" w:lineRule="exact" w:before="324" w:after="0"/>
        <w:ind w:left="0" w:right="227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Education</w:t>
      </w:r>
    </w:p>
    <w:p>
      <w:pPr>
        <w:autoSpaceDN w:val="0"/>
        <w:autoSpaceDE w:val="0"/>
        <w:widowControl/>
        <w:spacing w:line="212" w:lineRule="exact" w:before="42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4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2" w:val="left"/>
        </w:tabs>
        <w:autoSpaceDE w:val="0"/>
        <w:widowControl/>
        <w:spacing w:line="276" w:lineRule="exact" w:before="170" w:after="0"/>
        <w:ind w:left="145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45.00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0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330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6" w:after="0"/>
              <w:ind w:left="118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National Commission for UNESCO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2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38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 46/2008</w:t>
      </w:r>
    </w:p>
    <w:p>
      <w:pPr>
        <w:autoSpaceDN w:val="0"/>
        <w:autoSpaceDE w:val="0"/>
        <w:widowControl/>
        <w:spacing w:line="228" w:lineRule="exact" w:before="228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ANKA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U</w:t>
      </w:r>
      <w:r>
        <w:rPr>
          <w:rFonts w:ascii="Times" w:hAnsi="Times" w:eastAsia="Times"/>
          <w:b w:val="0"/>
          <w:i w:val="0"/>
          <w:color w:val="000000"/>
          <w:sz w:val="14"/>
        </w:rPr>
        <w:t>NITED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N</w:t>
      </w:r>
      <w:r>
        <w:rPr>
          <w:rFonts w:ascii="Times" w:hAnsi="Times" w:eastAsia="Times"/>
          <w:b w:val="0"/>
          <w:i w:val="0"/>
          <w:color w:val="000000"/>
          <w:sz w:val="14"/>
        </w:rPr>
        <w:t>ATIONS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E</w:t>
      </w:r>
      <w:r>
        <w:rPr>
          <w:rFonts w:ascii="Times" w:hAnsi="Times" w:eastAsia="Times"/>
          <w:b w:val="0"/>
          <w:i w:val="0"/>
          <w:color w:val="000000"/>
          <w:sz w:val="14"/>
        </w:rPr>
        <w:t>DUCATIONAL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CIENTIFIC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000000"/>
          <w:sz w:val="14"/>
        </w:rPr>
        <w:t>ULTURAL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O</w:t>
      </w:r>
      <w:r>
        <w:rPr>
          <w:rFonts w:ascii="Times" w:hAnsi="Times" w:eastAsia="Times"/>
          <w:b w:val="0"/>
          <w:i w:val="0"/>
          <w:color w:val="000000"/>
          <w:sz w:val="14"/>
        </w:rPr>
        <w:t>RGANIZATION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(UNESCO);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</w:p>
    <w:p>
      <w:pPr>
        <w:autoSpaceDN w:val="0"/>
        <w:autoSpaceDE w:val="0"/>
        <w:widowControl/>
        <w:spacing w:line="188" w:lineRule="exact" w:before="2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</w:p>
    <w:p>
      <w:pPr>
        <w:autoSpaceDN w:val="0"/>
        <w:autoSpaceDE w:val="0"/>
        <w:widowControl/>
        <w:spacing w:line="228" w:lineRule="exact" w:before="244" w:after="13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6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2" w:val="left"/>
              </w:tabs>
              <w:autoSpaceDE w:val="0"/>
              <w:widowControl/>
              <w:spacing w:line="278" w:lineRule="exact" w:before="58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Sri Lanka National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for UNESCO Act, No. …………… of 2022.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4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 I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144" w:after="130"/>
        <w:ind w:left="1872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UNESCO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8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  <w:tab w:pos="670" w:val="left"/>
              </w:tabs>
              <w:autoSpaceDE w:val="0"/>
              <w:widowControl/>
              <w:spacing w:line="222" w:lineRule="exact" w:before="114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There shall be established a Commission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called the Sri Lanka National Commission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UNESCO (hereinafter referred to as the “Commission”).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Sri 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UNESCO</w:t>
            </w:r>
          </w:p>
        </w:tc>
      </w:tr>
      <w:tr>
        <w:trPr>
          <w:trHeight w:hRule="exact" w:val="8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4" w:after="0"/>
              <w:ind w:left="76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Commission shall, by the name assigned to it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(1), be a body corporate with perpetual succession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 common seal and may sue and be sued in such name.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Commission shall be:-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6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8" w:after="0"/>
              <w:ind w:left="1138" w:right="42" w:hanging="32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to provide the required forum for international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intellectual co-operation, through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facilitation of a globally connected networking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system pertaining to field of competencies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UNESCO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0" w:after="0"/>
              <w:ind w:left="1138" w:right="42" w:hanging="32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to facilitate the exchange of information in areas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related to education, science, culture, mass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media and communication through local,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regional and global programmes organized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UNESCO, thus acting as a clearing house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in the related fields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competencies of UNESCO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3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National Commission for UNESCO</w:t>
            </w:r>
          </w:p>
        </w:tc>
      </w:tr>
      <w:tr>
        <w:trPr>
          <w:trHeight w:hRule="exact" w:val="14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54" w:after="0"/>
              <w:ind w:left="744" w:right="1256" w:hanging="31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to assist the relevant ministries in the follow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up and monitoring of the implementation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guidelines which are embodied in the wide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range of UNESCO Conventions, to which Sri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is a party;</w:t>
            </w:r>
          </w:p>
        </w:tc>
      </w:tr>
      <w:tr>
        <w:trPr>
          <w:trHeight w:hRule="exact" w:val="148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46" w:after="0"/>
              <w:ind w:left="744" w:right="1256" w:hanging="32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to encourage and facilitate access to strategies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permit the acquisition of knowledge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through information from research documents,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publications and best practices amongst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UNESCO beneficiaries; and</w:t>
            </w:r>
          </w:p>
        </w:tc>
      </w:tr>
    </w:tbl>
    <w:p>
      <w:pPr>
        <w:autoSpaceDN w:val="0"/>
        <w:autoSpaceDE w:val="0"/>
        <w:widowControl/>
        <w:spacing w:line="232" w:lineRule="exact" w:before="150" w:after="136"/>
        <w:ind w:left="2764" w:right="2518" w:hanging="31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assist in building capacities of the 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in education, science, culture, mass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media and communication by conducting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workshops, seminars and conferences.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4" w:val="left"/>
              </w:tabs>
              <w:autoSpaceDE w:val="0"/>
              <w:widowControl/>
              <w:spacing w:line="278" w:lineRule="exact" w:before="5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powers, duties and functions of the Commission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advice the Government of Sri Lanka on matters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UNESCO programmes and projects;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4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38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2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promote and disseminate among UNESCO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beneficiaries in Sri Lanka an understanding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objects, functions and purposes of UNESCO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programmes and projects and to conduct meetings,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seminars and lectures for that purpose;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40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work towards the achievement of the objects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Commission with the co-operation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relevant government and local autonomous bodies,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international non governmental organizations,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United Nations agencies, governmental and non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governmental organizations, private and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sector institutions;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1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32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organize programmes in the fields of education,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science, culture, mass media, communication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relevant disciplines including programmes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44" w:lineRule="exact" w:before="0" w:after="0"/>
        <w:ind w:left="2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Lanka National Commission for UNESCO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66" w:lineRule="exact" w:before="4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focused on capacity building within the relevant</w:t>
      </w:r>
    </w:p>
    <w:p>
      <w:pPr>
        <w:autoSpaceDN w:val="0"/>
        <w:autoSpaceDE w:val="0"/>
        <w:widowControl/>
        <w:spacing w:line="266" w:lineRule="exact" w:before="0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ministries and to assist in monitoring and evaluating</w:t>
      </w:r>
    </w:p>
    <w:p>
      <w:pPr>
        <w:autoSpaceDN w:val="0"/>
        <w:autoSpaceDE w:val="0"/>
        <w:widowControl/>
        <w:spacing w:line="266" w:lineRule="exact" w:before="0" w:after="166"/>
        <w:ind w:left="0" w:right="50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programmes;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6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enhance partnerships with the public, private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non-governmental stakeholders including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partnerships with the United Nations systems;</w:t>
            </w:r>
          </w:p>
        </w:tc>
      </w:tr>
      <w:tr>
        <w:trPr>
          <w:trHeight w:hRule="exact" w:val="37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12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disseminate information on and recommend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candidates for UNESCO awards, fellowships and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study grants;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mobilize and receive funds for the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implementation of programmes;</w:t>
            </w:r>
          </w:p>
        </w:tc>
      </w:tr>
      <w:tr>
        <w:trPr>
          <w:trHeight w:hRule="exact" w:val="3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72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open and maintain, current, savings and deposit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accounts in any bank or banks;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accept gifts, grants or donations from local or</w:t>
            </w:r>
          </w:p>
        </w:tc>
      </w:tr>
      <w:tr>
        <w:trPr>
          <w:trHeight w:hRule="exact" w:val="23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sources, whether in cash or otherwise, for</w:t>
            </w:r>
          </w:p>
        </w:tc>
      </w:tr>
      <w:tr>
        <w:trPr>
          <w:trHeight w:hRule="exact" w:val="255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purpose of discharging the functions of the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Commission: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that, notwithstanding anything to the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contrary in any other provisions of this Act, the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obtain prior written approval of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Department of External Resources in respect of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foreign grants, gifts or donations in cash;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acquire and hold, take or give on lease, mortgage</w:t>
            </w:r>
          </w:p>
        </w:tc>
      </w:tr>
      <w:tr>
        <w:trPr>
          <w:trHeight w:hRule="exact" w:val="25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hire, pledge or sell or otherwise dispose of, any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movable or immovable property for the purpose of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discharging the functions of the Commission;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 into and perform all such contracts as may be</w:t>
            </w:r>
          </w:p>
        </w:tc>
      </w:tr>
      <w:tr>
        <w:trPr>
          <w:trHeight w:hRule="exact" w:val="25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7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for the exercise, performance and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the powers, duties and functions of the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National Commission for UNESCO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8" w:after="0"/>
              <w:ind w:left="21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Constitution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2" w:after="0"/>
              <w:ind w:left="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Commission shall consist of-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4"/>
        </w:trPr>
        <w:tc>
          <w:tcPr>
            <w:tcW w:type="dxa" w:w="3007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following ex- officio members, namely-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168" w:after="118"/>
        <w:ind w:left="2962" w:right="2448" w:hanging="25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the Secretary to the Ministry of the Minister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an additional Secretary of such Ministry;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77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26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0" w:after="0"/>
              <w:ind w:left="902" w:right="1256" w:hanging="31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(ii) the Secretary to the Ministry of the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assigned the subject of Higher Education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additional Secretary of such Ministry;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902" w:right="1256" w:hanging="37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(iii) the Secretary to the Ministry of the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assigned the subject of Technology or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nominee;</w:t>
            </w:r>
          </w:p>
        </w:tc>
      </w:tr>
    </w:tbl>
    <w:p>
      <w:pPr>
        <w:autoSpaceDN w:val="0"/>
        <w:autoSpaceDE w:val="0"/>
        <w:widowControl/>
        <w:spacing w:line="228" w:lineRule="exact" w:before="156" w:after="130"/>
        <w:ind w:left="2962" w:right="2516" w:hanging="36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the Secretary to the Ministry of the Minister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Cultural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Religious Affairs or his nominee;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4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2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862" w:right="1256" w:hanging="30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(v) the Secretary to the Ministry of the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assigned the subject of Mass Media or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nominee;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130"/>
        <w:ind w:left="2962" w:right="2516" w:hanging="36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(vi) the Secretary to the Ministry of the Minister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Finance or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nominee;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75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092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942" w:right="1256" w:hanging="42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(vii) the Secretary to the Ministry of the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assigned the subject of Foreign Relations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his nominee;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942" w:right="1256" w:hanging="48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(viii) the Secretary to the Ministry of the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assigned the subject of Environment or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nominee;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130"/>
        <w:ind w:left="2962" w:right="2516" w:hanging="36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(ix) the Chairman of the University Grants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established by the Universities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Act, No. 16 of 1978;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7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0" w:after="0"/>
              <w:ind w:left="0" w:right="5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2" w:val="left"/>
              </w:tabs>
              <w:autoSpaceDE w:val="0"/>
              <w:widowControl/>
              <w:spacing w:line="238" w:lineRule="exact" w:before="88" w:after="0"/>
              <w:ind w:left="5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(x) the Secretary General of the Sri Lanka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Commission for UNESCO;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44" w:lineRule="exact" w:before="0" w:after="0"/>
        <w:ind w:left="2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Lanka National Commission for UNESCO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0" w:lineRule="exact" w:before="506" w:after="148"/>
        <w:ind w:left="3058" w:right="2422" w:hanging="36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(xi) the Chairman of the National Science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Foundation established by the Science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Technology Development Act, No. 11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1994.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5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4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three members appointed by the Minister from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Chairperson</w:t>
            </w:r>
          </w:p>
        </w:tc>
      </w:tr>
      <w:tr>
        <w:trPr>
          <w:trHeight w:hRule="exact" w:val="24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among persons who have distinguished themselves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fields of education, natural science, social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human science, technology, culture, business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industry, communication, peace, human rights,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Law, Public Administration, journalism,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environment protection, performing arts, music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literature (hereinafter referred to as the “appointed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</w:tabs>
              <w:autoSpaceDE w:val="0"/>
              <w:widowControl/>
              <w:spacing w:line="228" w:lineRule="exact" w:before="156" w:after="0"/>
              <w:ind w:left="5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shall be the Chairperson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Vice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Chairperson</w:t>
            </w:r>
          </w:p>
        </w:tc>
      </w:tr>
      <w:tr>
        <w:trPr>
          <w:trHeight w:hRule="exact" w:val="19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Secretary to the Ministry of the Minister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Vice Chairperson of the Commission.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Vice Chairperson shall hold office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as long as he holds the office by virtue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he has been appointed to the Commission.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Where the Chairperson is temporarily unable to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5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being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continuing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member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exercise, perform and discharge the powers, duties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of his office due to ill health, other infirmity,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absence from Sri Lanka or any other cause, the Vice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Chairperson may act as the Chairperson in addition to 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normal duties as the Vice Chairperson.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</w:tabs>
              <w:autoSpaceDE w:val="0"/>
              <w:widowControl/>
              <w:spacing w:line="278" w:lineRule="exact" w:before="106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shall be disqualified from being appointed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continuing as a member of the Commission, if he-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4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is or becomes a member, of Parliament,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Council or any local authority;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8" w:after="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is not, or ceases</w:t>
      </w:r>
      <w:r>
        <w:rPr>
          <w:rFonts w:ascii="Times" w:hAnsi="Times" w:eastAsia="Times"/>
          <w:b w:val="0"/>
          <w:i w:val="0"/>
          <w:color w:val="000000"/>
          <w:sz w:val="20"/>
        </w:rPr>
        <w:t>to be a citizen of Sri Lanka;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250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 National Commission for UNESCO</w:t>
      </w:r>
    </w:p>
    <w:p>
      <w:pPr>
        <w:autoSpaceDN w:val="0"/>
        <w:autoSpaceDE w:val="0"/>
        <w:widowControl/>
        <w:spacing w:line="246" w:lineRule="exact" w:before="478" w:after="164"/>
        <w:ind w:left="2424" w:right="2516" w:hanging="33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a person who, having been declared an insolvent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bankrupt under any law in Sri Lanka or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country, is an undischarged insolvent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bankrupt;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3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624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is under any law in force in Sri Lanka or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country found or declared to be of unsound mind;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66"/>
        <w:ind w:left="2424" w:right="2518" w:hanging="33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convicted of an offence involving moral turpitude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punishable with imprisonment for a term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less than six months;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3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584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is serving or has served a sentence of imprisonment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imposed by a court of Sri Lanka or any other country;</w:t>
            </w:r>
          </w:p>
        </w:tc>
      </w:tr>
    </w:tbl>
    <w:p>
      <w:pPr>
        <w:autoSpaceDN w:val="0"/>
        <w:autoSpaceDE w:val="0"/>
        <w:widowControl/>
        <w:spacing w:line="244" w:lineRule="exact" w:before="188" w:after="166"/>
        <w:ind w:left="2424" w:right="2448" w:hanging="34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holds or enjoys any right or benefit under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contract made by, or on behalf of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7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604" w:right="1258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has any financial or other interest as is likely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affect prejudicially the discharge by him of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as a member of the Commission; or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66"/>
        <w:ind w:left="2424" w:right="25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absent from three consecutive meetings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without the permission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78" w:lineRule="exact" w:before="58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appointed member of the Commission shall,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unless he vacates office earlier by death, resignation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Terms of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removal, hold office for a period of three years from the date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his appointment and shall, unless he has been removed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office be eligible for re-appointment for not more than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further term, whether consecutive or otherwise.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80" w:lineRule="exact" w:before="230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member of the Commission may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any time, resign his office by letter in that behalf addressed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Removal,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etc. of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Minister, and such resignation shall take effect from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on which the resignation is accepted in writing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1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60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National Commission for UNESCO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7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</w:t>
            </w:r>
          </w:p>
        </w:tc>
      </w:tr>
      <w:tr>
        <w:trPr>
          <w:trHeight w:hRule="exact" w:val="1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50" w:after="0"/>
              <w:ind w:left="58" w:right="6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Minister may, for reasons assigned remove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member from office. An appointed member who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removed from office shall not be eligible for re-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appointment as a member of the Commission or to serve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in any other capacity.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4" w:after="0"/>
              <w:ind w:left="58" w:right="6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In the event of the vacation of office by death,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resignation or removal of any appointed member,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shall subject to the provision of section 5(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appoint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another person to fill such vacancy and such person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hold office for the unexpired period of the term of office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 whom he succeeds.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58" w:right="6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Where any appointed member of the Commission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temporarily unable to perform the duties of his office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account of ill health or any other cause or if he is absent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Sri Lanka for a period of not less than three months,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shall subject to the provisions of section 5(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 any other person to act in place of such member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during his absence.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58" w:right="6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Where any appointed member of the Commission fails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attend three consecutive meetings of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notifying his absence in advance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 Chairperson,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member shall be deemed to have vacated his office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Minister shall appoint another person to fill such vacancy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section 5(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  <w:tab w:pos="750" w:val="left"/>
              </w:tabs>
              <w:autoSpaceDE w:val="0"/>
              <w:widowControl/>
              <w:spacing w:line="232" w:lineRule="exact" w:before="164" w:after="0"/>
              <w:ind w:left="5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any meeting of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seven members and every meeting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shall be presided by the Chairperson.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absence of the Chairperson from any meeting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Commission, any member elected by the members present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preside at such meeting of the Commission.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Meetings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77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42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A meeting of the Commission may be held either-</w:t>
      </w:r>
    </w:p>
    <w:p>
      <w:pPr>
        <w:autoSpaceDN w:val="0"/>
        <w:autoSpaceDE w:val="0"/>
        <w:widowControl/>
        <w:spacing w:line="236" w:lineRule="exact" w:before="232" w:after="0"/>
        <w:ind w:left="2738" w:right="2424" w:hanging="30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number of members who constitute a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quorum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being assembled at the place, date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time appointed for the meeting;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2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National Commission for UNESCO</w:t>
            </w:r>
          </w:p>
        </w:tc>
      </w:tr>
      <w:tr>
        <w:trPr>
          <w:trHeight w:hRule="exact" w:val="3088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52" w:after="0"/>
              <w:ind w:left="1004" w:right="1256" w:hanging="30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by means of audio - visual communication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all members participating and constituting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can simultaneously see and hear each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participating member for the duration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meeting.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All questions for decision at any meeting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shall be decided by the vote of the majority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 present and voting at such meeting. In the case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equality of votes, the Chairperson shall, in addition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his vote, have a casting vote.</w:t>
            </w:r>
          </w:p>
        </w:tc>
      </w:tr>
    </w:tbl>
    <w:p>
      <w:pPr>
        <w:autoSpaceDN w:val="0"/>
        <w:autoSpaceDE w:val="0"/>
        <w:widowControl/>
        <w:spacing w:line="252" w:lineRule="exact" w:before="188" w:after="17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shall meet at least once in every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year. However, special or extraordinary general meetings </w:t>
      </w:r>
      <w:r>
        <w:rPr>
          <w:rFonts w:ascii="Times" w:hAnsi="Times" w:eastAsia="Times"/>
          <w:b w:val="0"/>
          <w:i w:val="0"/>
          <w:color w:val="000000"/>
          <w:sz w:val="20"/>
        </w:rPr>
        <w:t>may be convened, if and when required.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 Subject to the preceding provisions of this section,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86" w:after="0"/>
              <w:ind w:left="9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proceedings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deemed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be invalid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reason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vacancy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 make rules to regulate the procedure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regard to the conduct of meetings of the Commission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transaction of business at such meetings.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8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 act, notwithstanding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vacancy among its members, and any act or proceeding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not be, or deemed to be, invalid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 only of the existence of any vacancy among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or any defect in the appointment of a member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members of the Commission shall be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6" w:after="0"/>
              <w:ind w:left="7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Remuneration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members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remunerated in such manner and at such rates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Minister with the concurrence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assigned the subject of finance.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6" w:after="0"/>
              <w:ind w:left="0" w:right="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seal of the Commission–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9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shall be in the custody of such person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decide from time to time;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44" w:lineRule="exact" w:before="0" w:after="0"/>
        <w:ind w:left="2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Lanka National Commission for UNESCO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998" w:val="left"/>
        </w:tabs>
        <w:autoSpaceDE w:val="0"/>
        <w:widowControl/>
        <w:spacing w:line="252" w:lineRule="exact" w:before="476" w:after="178"/>
        <w:ind w:left="264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may be altered in such manner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9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shall not be affixed to any instrument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9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 except with the sanction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and in the presence of two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Commission who shall sign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instrument or document in token of their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8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presence.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Commission shall maintain a register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instruments and documents to which the seal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has been affixed.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 appoint in consultation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authorities,  such number of committees and experts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it considered necessary or expedient to assist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exercise, performance and discharge of powers, duties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conferred on, assigned to or imposed on,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by 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52" w:lineRule="exact" w:before="19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committees appointed under subsection (1) shall </w:t>
      </w:r>
      <w:r>
        <w:rPr>
          <w:rFonts w:ascii="Times" w:hAnsi="Times" w:eastAsia="Times"/>
          <w:b w:val="0"/>
          <w:i w:val="0"/>
          <w:color w:val="000000"/>
          <w:sz w:val="20"/>
        </w:rPr>
        <w:t>be–</w:t>
      </w:r>
    </w:p>
    <w:p>
      <w:pPr>
        <w:autoSpaceDN w:val="0"/>
        <w:tabs>
          <w:tab w:pos="2162" w:val="left"/>
        </w:tabs>
        <w:autoSpaceDE w:val="0"/>
        <w:widowControl/>
        <w:spacing w:line="292" w:lineRule="exact" w:before="2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committee on Education;</w:t>
      </w:r>
    </w:p>
    <w:p>
      <w:pPr>
        <w:autoSpaceDN w:val="0"/>
        <w:autoSpaceDE w:val="0"/>
        <w:widowControl/>
        <w:spacing w:line="266" w:lineRule="exact" w:before="212" w:after="0"/>
        <w:ind w:left="21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committee on Natural Science;</w:t>
      </w:r>
    </w:p>
    <w:p>
      <w:pPr>
        <w:autoSpaceDN w:val="0"/>
        <w:autoSpaceDE w:val="0"/>
        <w:widowControl/>
        <w:spacing w:line="266" w:lineRule="exact" w:before="238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committee on Social and Human Science;</w:t>
      </w:r>
    </w:p>
    <w:p>
      <w:pPr>
        <w:autoSpaceDN w:val="0"/>
        <w:autoSpaceDE w:val="0"/>
        <w:widowControl/>
        <w:spacing w:line="266" w:lineRule="exact" w:before="238" w:after="178"/>
        <w:ind w:left="21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committee on Culture;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3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8" w:val="left"/>
              </w:tabs>
              <w:autoSpaceDE w:val="0"/>
              <w:widowControl/>
              <w:spacing w:line="250" w:lineRule="exact" w:before="78" w:after="0"/>
              <w:ind w:left="2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committee on Communication and Information;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2" w:lineRule="exact" w:before="192" w:after="0"/>
        <w:ind w:left="220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intersectoral committee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falling within the field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competences of UNESCO.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National Commission for UNESCO</w:t>
            </w:r>
          </w:p>
        </w:tc>
      </w:tr>
      <w:tr>
        <w:trPr>
          <w:trHeight w:hRule="exact" w:val="6102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members of the committees appointed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(1), shall possess such qualifications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experience in the fields of education, science, technology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innovation, economics or finance, culture,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communication and infrastructure, law,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administration, mass media, oceanography, sustainable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development, journalism, environment protection,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performing arts, music or literature , cultural heritage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museums or any other relevant field.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A committee appointed under subsection (1),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regulate the procedures for the transaction of its business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of its meetings.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members of every committee and experts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under subsection (1), shall be paid such allowances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be reimbursed for any expenses incurred in connection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the carrying out of any duties assigned, as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may determine with the concurrence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assigned the subject of finance.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The members of the committees may or may not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permanent members of the Commission as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determine.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Commission may require a committee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section to act jointly or in cooperation with any </w:t>
      </w:r>
      <w:r>
        <w:rPr>
          <w:rFonts w:ascii="Times" w:hAnsi="Times" w:eastAsia="Times"/>
          <w:b w:val="0"/>
          <w:i w:val="0"/>
          <w:color w:val="000000"/>
          <w:sz w:val="20"/>
        </w:rPr>
        <w:t>other committee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82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duties and functions of the Committees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under section 14, to assist the relevant Ministries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concerned stakeholders shall be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Committees</w:t>
            </w:r>
          </w:p>
        </w:tc>
      </w:tr>
    </w:tbl>
    <w:p>
      <w:pPr>
        <w:autoSpaceDN w:val="0"/>
        <w:autoSpaceDE w:val="0"/>
        <w:widowControl/>
        <w:spacing w:line="266" w:lineRule="exact" w:before="60" w:after="122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committee on Education to–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2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6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842" w:right="1256" w:hanging="31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(i) focus on three fundamental areas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achieving education for all literacy, teachers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skills for the world of work, support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boosting functional literacy and in the design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2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Lanka National Commission for UNESCO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68" w:lineRule="exact" w:before="48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implementation of effective policies and</w:t>
      </w:r>
    </w:p>
    <w:p>
      <w:pPr>
        <w:autoSpaceDN w:val="0"/>
        <w:autoSpaceDE w:val="0"/>
        <w:widowControl/>
        <w:spacing w:line="266" w:lineRule="exact" w:before="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systems for training and retaining teachers to</w:t>
      </w:r>
    </w:p>
    <w:p>
      <w:pPr>
        <w:autoSpaceDN w:val="0"/>
        <w:autoSpaceDE w:val="0"/>
        <w:widowControl/>
        <w:spacing w:line="266" w:lineRule="exact" w:before="0" w:after="178"/>
        <w:ind w:left="0" w:right="3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meet current and future demands;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37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46" w:after="0"/>
              <w:ind w:left="0" w:right="4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252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42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54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984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896" w:right="1202" w:hanging="37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(ii)  promote technical and vocational education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training (TVET) and skills development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world of work, through upstream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 work;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896" w:right="1202" w:hanging="43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(iii) provide capacity development, technical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support and policy advise in the different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stages of education, from early childhood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higher education, furthering lifelong learning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support building, strengthening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managing effective education systems;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896" w:right="1202" w:hanging="42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(iv)  support in preparing, renewing and managing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implementation of sector wide plans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inclusive of policies in education, and address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issues such as health, environment, economy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society, which will have an impact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entire education sector;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896" w:right="1202" w:hanging="36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(v)  provide information and assistance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implementation of recommendations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UNESCO’s initiatives at the regional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global levels, covering the education sector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early child care to higher education; and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896" w:right="1202" w:hanging="42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(vi) have recourse to UNESCO category 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Institutes in Education, viz, UNESCO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International Bureau of Education (IBE),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UNESCO International Institute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Educational Planning (IIEP), UNESCO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Institute for Life Long Learning (UIL)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UNESCO Institute for 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Technologies in Education (IITE).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250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 National Commission for UNESCO</w:t>
      </w:r>
    </w:p>
    <w:p>
      <w:pPr>
        <w:autoSpaceDN w:val="0"/>
        <w:autoSpaceDE w:val="0"/>
        <w:widowControl/>
        <w:spacing w:line="266" w:lineRule="exact" w:before="456" w:after="154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committee on Natural Science 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12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98" w:after="0"/>
              <w:ind w:left="0" w:right="5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804" w:right="1256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(i) provide policy advise and capacity building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science, technology and innovation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sustainable development and poverty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eradication by-</w:t>
            </w:r>
          </w:p>
        </w:tc>
      </w:tr>
    </w:tbl>
    <w:p>
      <w:pPr>
        <w:autoSpaceDN w:val="0"/>
        <w:autoSpaceDE w:val="0"/>
        <w:widowControl/>
        <w:spacing w:line="240" w:lineRule="exact" w:before="160" w:after="154"/>
        <w:ind w:left="338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enhancing the leverage of science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 integrated science, technology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innovation policy;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90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192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64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34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strengthening science, education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capacity building in basic engineering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applied sciences;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(ii) develop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capacities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sustainable</w:t>
            </w:r>
          </w:p>
        </w:tc>
      </w:tr>
      <w:tr>
        <w:trPr>
          <w:trHeight w:hRule="exact" w:val="2238"/>
        </w:trPr>
        <w:tc>
          <w:tcPr>
            <w:tcW w:type="dxa" w:w="1804"/>
            <w:vMerge/>
            <w:tcBorders/>
          </w:tcPr>
          <w:p/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844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management of freshwater, ocean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terrestrial resources as well as disaster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preparedness and mitigation to counter global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warming and climate change through-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344" w:right="1256" w:hanging="37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(A) promoting the sustainable management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conservation of freshwater,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terrestrial resources and biodiversity,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well as disaster resilience; and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2"/>
        <w:ind w:left="3384" w:right="2516" w:hanging="37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(B) improving governance and fostering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inter-governmental cooperation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 and protect oceans and coastal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zones;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98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92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4" w:val="left"/>
                <w:tab w:pos="2516" w:val="left"/>
                <w:tab w:pos="3908" w:val="left"/>
              </w:tabs>
              <w:autoSpaceDE w:val="0"/>
              <w:widowControl/>
              <w:spacing w:line="240" w:lineRule="exact" w:before="88" w:after="0"/>
              <w:ind w:left="4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(iii) have recourse to UNESCO, Institute for Water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Education (IWE), International Centre for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Theoretical Physics (ICTP), and other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UNESCO specialized programmes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commissions such as the International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Oceanographic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(IOC),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International Hydrology Programme (IHP),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Geo-Science Programme (IGCP)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2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Lanka National Commission for UNESCO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34" w:lineRule="exact" w:before="484" w:after="140"/>
        <w:ind w:left="2978" w:right="24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Man and Biosphere Programme (MAB),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view to making important contributions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area of the sciences;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04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8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44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1058" w:right="1202" w:hanging="40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(iv) enhance partnerships with the public, private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governmental stakeholders including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multi bilateral, in the field of science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technology for sustainable development,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order to create improved synergies between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key players.</w:t>
            </w:r>
          </w:p>
          <w:p>
            <w:pPr>
              <w:autoSpaceDN w:val="0"/>
              <w:autoSpaceDE w:val="0"/>
              <w:widowControl/>
              <w:spacing w:line="266" w:lineRule="exact" w:before="202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committee on Social and Human Science to-</w:t>
            </w:r>
          </w:p>
        </w:tc>
      </w:tr>
    </w:tbl>
    <w:p>
      <w:pPr>
        <w:autoSpaceDN w:val="0"/>
        <w:tabs>
          <w:tab w:pos="2978" w:val="left"/>
        </w:tabs>
        <w:autoSpaceDE w:val="0"/>
        <w:widowControl/>
        <w:spacing w:line="234" w:lineRule="exact" w:before="154" w:after="140"/>
        <w:ind w:left="26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respond to critical national, regional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global social challenges by-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5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8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8" w:val="left"/>
                <w:tab w:pos="2206" w:val="left"/>
                <w:tab w:pos="3012" w:val="left"/>
                <w:tab w:pos="3922" w:val="left"/>
              </w:tabs>
              <w:autoSpaceDE w:val="0"/>
              <w:widowControl/>
              <w:spacing w:line="234" w:lineRule="exact" w:before="94" w:after="0"/>
              <w:ind w:left="73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(A) promoting human rights through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programmes in Education, Science,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Culture,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Mass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Media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Communication by fostering dialogue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emerging social issues;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1118" w:right="1202" w:hanging="38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(B) strengthening research and policy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linkages in the field of social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transformation with a view to providing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scientific policy responses to the likely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social impact of evolving financial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economic crisis at national, regional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international levels through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dialogue between policy makers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research communities, which may cover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issues on migrant labour and rapid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urbanization; and</w:t>
            </w:r>
          </w:p>
          <w:p>
            <w:pPr>
              <w:autoSpaceDN w:val="0"/>
              <w:tabs>
                <w:tab w:pos="1118" w:val="left"/>
                <w:tab w:pos="2092" w:val="left"/>
                <w:tab w:pos="3036" w:val="left"/>
                <w:tab w:pos="3474" w:val="left"/>
              </w:tabs>
              <w:autoSpaceDE w:val="0"/>
              <w:widowControl/>
              <w:spacing w:line="234" w:lineRule="exact" w:before="234" w:after="0"/>
              <w:ind w:left="73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(C) promote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policies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physical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education, sports and anti doping; and</w:t>
            </w:r>
          </w:p>
        </w:tc>
      </w:tr>
    </w:tbl>
    <w:p>
      <w:pPr>
        <w:autoSpaceDN w:val="0"/>
        <w:autoSpaceDE w:val="0"/>
        <w:widowControl/>
        <w:spacing w:line="236" w:lineRule="exact" w:before="150" w:after="0"/>
        <w:ind w:left="2956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address emerging global ethical issues,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developing policies in the ethics for science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technology, especially, bio-ethics.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250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 National Commission for UNESCO</w:t>
      </w:r>
    </w:p>
    <w:p>
      <w:pPr>
        <w:autoSpaceDN w:val="0"/>
        <w:autoSpaceDE w:val="0"/>
        <w:widowControl/>
        <w:spacing w:line="266" w:lineRule="exact" w:before="456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the committee on Culture to-</w:t>
      </w:r>
    </w:p>
    <w:p>
      <w:pPr>
        <w:autoSpaceDN w:val="0"/>
        <w:autoSpaceDE w:val="0"/>
        <w:widowControl/>
        <w:spacing w:line="266" w:lineRule="exact" w:before="214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(i) protect, safeguard and manage the tangible</w:t>
      </w:r>
    </w:p>
    <w:p>
      <w:pPr>
        <w:autoSpaceDN w:val="0"/>
        <w:autoSpaceDE w:val="0"/>
        <w:widowControl/>
        <w:spacing w:line="266" w:lineRule="exact" w:before="0" w:after="154"/>
        <w:ind w:left="0" w:right="26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intangible cultural heritage by way 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58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44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972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24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194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76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442" w:right="1256" w:hanging="37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(A) protecting and conserving cultural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natural heritage properties,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particular, through the effective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implementation of the World Heritage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Convention guidelines;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442" w:right="1256" w:hanging="37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(B) safeguard the living heritage,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particularly through the promotion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implementation of the UNESCO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2003 Convention guidelines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Intangible Cultural Heritage,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covers areas such as myths, beliefs,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rituals, practices, cultural spaces,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processions, dances, theatre, drama,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chants, modes of communication;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442" w:right="1256" w:hanging="37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(C) enhance the protection of cultural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objects and the fight against their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illicit trafficking, notably through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promotion and the implementation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1970 and 2001 UNESCO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conventions, as well as through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of museums;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442" w:right="1258" w:hanging="37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(D) safeguard the Underwater Cultural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Heritage through the implementation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2001 UNESCO Convention.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42" w:right="1258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(ii) promote the diversity of cultural expressions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the dialogue of cultures, with a view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fostering a culture of peace, through-</w:t>
            </w:r>
          </w:p>
        </w:tc>
      </w:tr>
    </w:tbl>
    <w:p>
      <w:pPr>
        <w:autoSpaceDN w:val="0"/>
        <w:autoSpaceDE w:val="0"/>
        <w:widowControl/>
        <w:spacing w:line="268" w:lineRule="exact" w:before="150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(A) the implementation of the guidelines</w:t>
      </w:r>
    </w:p>
    <w:p>
      <w:pPr>
        <w:autoSpaceDN w:val="0"/>
        <w:autoSpaceDE w:val="0"/>
        <w:widowControl/>
        <w:spacing w:line="268" w:lineRule="exact" w:before="0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UNESCO 2005 Convention 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2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Lanka National Commission for UNESCO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6" w:lineRule="exact" w:before="478" w:after="160"/>
        <w:ind w:left="35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Protection and Promotion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Diversity of Cultural Expressions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 the development of cultural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creative industries;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1058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9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76" w:after="0"/>
              <w:ind w:left="1158" w:right="1202" w:hanging="37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(B) the integration of intercultural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dialogue and cultural diversity into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national policies, to promote dialogue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diversity and to bring the role of</w:t>
            </w:r>
          </w:p>
        </w:tc>
      </w:tr>
      <w:tr>
        <w:trPr>
          <w:trHeight w:hRule="exact" w:val="242"/>
        </w:trPr>
        <w:tc>
          <w:tcPr>
            <w:tcW w:type="dxa" w:w="1503"/>
            <w:vMerge/>
            <w:tcBorders/>
          </w:tcPr>
          <w:p/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culture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forefront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</w:t>
            </w:r>
          </w:p>
        </w:tc>
      </w:tr>
      <w:tr>
        <w:trPr>
          <w:trHeight w:hRule="exact" w:val="338"/>
        </w:trPr>
        <w:tc>
          <w:tcPr>
            <w:tcW w:type="dxa" w:w="1503"/>
            <w:vMerge/>
            <w:tcBorders/>
          </w:tcPr>
          <w:p/>
        </w:tc>
        <w:tc>
          <w:tcPr>
            <w:tcW w:type="dxa" w:w="53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development.</w:t>
            </w:r>
          </w:p>
        </w:tc>
      </w:tr>
    </w:tbl>
    <w:p>
      <w:pPr>
        <w:autoSpaceDN w:val="0"/>
        <w:autoSpaceDE w:val="0"/>
        <w:widowControl/>
        <w:spacing w:line="266" w:lineRule="exact" w:before="148" w:after="166"/>
        <w:ind w:left="21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the committee on Communication to–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142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6" w:after="0"/>
              <w:ind w:left="0" w:right="5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878" w:right="1202" w:hanging="28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(i) promote freedom of expression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by way of enhancing access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through advocacy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monitoring;</w:t>
            </w:r>
          </w:p>
        </w:tc>
      </w:tr>
    </w:tbl>
    <w:p>
      <w:pPr>
        <w:autoSpaceDN w:val="0"/>
        <w:tabs>
          <w:tab w:pos="3118" w:val="left"/>
        </w:tabs>
        <w:autoSpaceDE w:val="0"/>
        <w:widowControl/>
        <w:spacing w:line="244" w:lineRule="exact" w:before="172" w:after="166"/>
        <w:ind w:left="27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build capacities for universal access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 and knowledge through-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14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8" w:after="0"/>
              <w:ind w:left="0" w:right="8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84" w:after="0"/>
              <w:ind w:left="0" w:right="8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006" w:after="0"/>
              <w:ind w:left="0" w:right="8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3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8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(A) strengthening free, independent and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pluralistic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media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1976"/>
        </w:trPr>
        <w:tc>
          <w:tcPr>
            <w:tcW w:type="dxa" w:w="1804"/>
            <w:vMerge/>
            <w:tcBorders/>
          </w:tcPr>
          <w:p/>
        </w:tc>
        <w:tc>
          <w:tcPr>
            <w:tcW w:type="dxa" w:w="53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121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communication for sustainable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development by increasing media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content and information literacy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promotion of the right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information;</w:t>
            </w:r>
          </w:p>
          <w:p>
            <w:pPr>
              <w:autoSpaceDN w:val="0"/>
              <w:autoSpaceDE w:val="0"/>
              <w:widowControl/>
              <w:spacing w:line="248" w:lineRule="exact" w:before="232" w:after="0"/>
              <w:ind w:left="1218" w:right="1152" w:hanging="38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(B) fostering universal access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and knowledge by the</w:t>
            </w:r>
          </w:p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development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</w:t>
            </w:r>
          </w:p>
        </w:tc>
      </w:tr>
      <w:tr>
        <w:trPr>
          <w:trHeight w:hRule="exact" w:val="740"/>
        </w:trPr>
        <w:tc>
          <w:tcPr>
            <w:tcW w:type="dxa" w:w="1804"/>
            <w:vMerge/>
            <w:tcBorders/>
          </w:tcPr>
          <w:p/>
        </w:tc>
        <w:tc>
          <w:tcPr>
            <w:tcW w:type="dxa" w:w="53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121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structures and Media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Resources Training Centers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use of information communication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technologies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knowledge</w:t>
            </w:r>
          </w:p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53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acquisition and sharing.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250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 National Commission for UNESCO</w:t>
      </w:r>
    </w:p>
    <w:p>
      <w:pPr>
        <w:autoSpaceDN w:val="0"/>
        <w:autoSpaceDE w:val="0"/>
        <w:widowControl/>
        <w:spacing w:line="240" w:lineRule="exact" w:before="482" w:after="144"/>
        <w:ind w:left="2422" w:right="25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intersectoral committee to coordinate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UNESCO, in collaboration and partnership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institutions in education, science, culture,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mass media and communication.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76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Any Committee may co-opt other persons whose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knowledge and experience it may find necessary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performance and discharge of the duties and functions.</w:t>
            </w:r>
          </w:p>
        </w:tc>
      </w:tr>
    </w:tbl>
    <w:p>
      <w:pPr>
        <w:autoSpaceDN w:val="0"/>
        <w:autoSpaceDE w:val="0"/>
        <w:widowControl/>
        <w:spacing w:line="266" w:lineRule="exact" w:before="154" w:after="152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44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PPOINMENT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ECRETARY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ENERAL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,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EPUTY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ECRETARY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ENERAL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SAFF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OMMISSION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Secretary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6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776" w:val="left"/>
              </w:tabs>
              <w:autoSpaceDE w:val="0"/>
              <w:widowControl/>
              <w:spacing w:line="238" w:lineRule="exact" w:before="250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Minister shall appoint a person who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have not less than fifteen years of academic or professional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experience in the fields of education, natural science, social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human science, culture, communication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administration, as the Secretary General of the Commission.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Secretary General shall be the Chief Executive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of the Commission and shall be responsible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affairs of the Commission including-</w:t>
      </w:r>
    </w:p>
    <w:p>
      <w:pPr>
        <w:autoSpaceDN w:val="0"/>
        <w:autoSpaceDE w:val="0"/>
        <w:widowControl/>
        <w:spacing w:line="268" w:lineRule="exact" w:before="212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day to day operations of the Commission;</w:t>
      </w:r>
    </w:p>
    <w:p>
      <w:pPr>
        <w:autoSpaceDN w:val="0"/>
        <w:tabs>
          <w:tab w:pos="2078" w:val="left"/>
        </w:tabs>
        <w:autoSpaceDE w:val="0"/>
        <w:widowControl/>
        <w:spacing w:line="296" w:lineRule="exact" w:before="18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management of the funds of the Commission;</w:t>
      </w:r>
    </w:p>
    <w:p>
      <w:pPr>
        <w:autoSpaceDN w:val="0"/>
        <w:tabs>
          <w:tab w:pos="2422" w:val="left"/>
        </w:tabs>
        <w:autoSpaceDE w:val="0"/>
        <w:widowControl/>
        <w:spacing w:line="240" w:lineRule="exact" w:before="212" w:after="0"/>
        <w:ind w:left="209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Commission; and</w:t>
      </w:r>
    </w:p>
    <w:p>
      <w:pPr>
        <w:autoSpaceDN w:val="0"/>
        <w:tabs>
          <w:tab w:pos="2422" w:val="left"/>
        </w:tabs>
        <w:autoSpaceDE w:val="0"/>
        <w:widowControl/>
        <w:spacing w:line="240" w:lineRule="exact" w:before="240" w:after="144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supervision and control of the officers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staff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27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Secretary General shall, submit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consideration of the Minister, programmes and measures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considered by him to be necessary for the purpose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exercising, performing and discharging the powers, duties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functions of the Commission.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2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Lanka National Commission for UNESCO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40" w:lineRule="exact" w:before="456" w:after="15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Secretary General shall be entitled to be present,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speak and vote, at any meeting of the Commission, or any </w:t>
      </w:r>
      <w:r>
        <w:rPr>
          <w:rFonts w:ascii="Times" w:hAnsi="Times" w:eastAsia="Times"/>
          <w:b w:val="0"/>
          <w:i w:val="0"/>
          <w:color w:val="000000"/>
          <w:sz w:val="20"/>
        </w:rPr>
        <w:t>other Committee established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8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5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Secretary General shall ensure that sufficient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transparency is maintained in carrying out his duties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Secretary General shall submit to the Commission,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three years work plan, the annual plan and programme </w:t>
      </w:r>
      <w:r>
        <w:rPr>
          <w:rFonts w:ascii="Times" w:hAnsi="Times" w:eastAsia="Times"/>
          <w:b w:val="0"/>
          <w:i w:val="0"/>
          <w:color w:val="000000"/>
          <w:sz w:val="20"/>
        </w:rPr>
        <w:t>and the annual budget, for its concurrence.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13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(7) The Secretary General may be paid such remuneration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such manner and at such rates as may be determined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Minister with the concurrence of the Minister assigned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subject of finance.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770" w:val="left"/>
              </w:tabs>
              <w:autoSpaceDE w:val="0"/>
              <w:widowControl/>
              <w:spacing w:line="238" w:lineRule="exact" w:before="164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Minister shall appoint a person who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have ten years of academic or professional experience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fields of education, natural science, social and human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science, culture, communication or administration as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Deputy Secretary General of the Commission.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Deputy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 of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8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Deputy Secretary General shall assist the Secretary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General to exercise, perform and discharge the powers, duties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functions the Commission.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70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Term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Secretary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Secretary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Deputy Secretary General may be paid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remuneration in such manner and at such rates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determined by the Minister with the concurrence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assigned the subject of finance.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6" w:val="left"/>
                <w:tab w:pos="804" w:val="left"/>
              </w:tabs>
              <w:autoSpaceDE w:val="0"/>
              <w:widowControl/>
              <w:spacing w:line="234" w:lineRule="exact" w:before="150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Secretary General and the Deputy Secretary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General shall hold office for a period of three years and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eligible for re-appointment.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5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2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Minister may for reasons assigned remove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Secretary General or the Deputy Secretary General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250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 National Commission for UNESCO</w:t>
      </w:r>
    </w:p>
    <w:p>
      <w:pPr>
        <w:autoSpaceDN w:val="0"/>
        <w:autoSpaceDE w:val="0"/>
        <w:widowControl/>
        <w:spacing w:line="266" w:lineRule="exact" w:before="472" w:after="20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office of the Secretary General and the Deputy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General shall become vacant upon the death,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removal from office or resignation by letter addressed to the </w:t>
      </w:r>
      <w:r>
        <w:rPr>
          <w:rFonts w:ascii="Times" w:hAnsi="Times" w:eastAsia="Times"/>
          <w:b w:val="0"/>
          <w:i w:val="0"/>
          <w:color w:val="000000"/>
          <w:sz w:val="20"/>
        </w:rPr>
        <w:t>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If any vacancy occurs in the office of the Secretary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 of the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General, the Minister may appoint the Deputy Secretary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to perform the duties of the Secretary General, until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appointment is made to such post.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6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 appoint such number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officers and employees as it may consider necessary for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efficient exercise, and discharge of its powers and functions,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prior approval of the Department of Management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5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Commission may in respect of the officers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appointed under subsection (1), exercise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disciplinary control over or dismiss such officers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and determine the terms and conditions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employment of such officers and employees.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officers and employees appointed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be remunerated in such manner and 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rates, in consultation with the Minister assigned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of Finance and shall be subject to such conditions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 as may be determined by the Commission,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the provisions of this Act and the rules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thereunder.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3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8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The Commission may establish and regulate provident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 schemes for the benefit of the officers and servants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who may be recruited outside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service and may make contributions to any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scheme.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4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60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National Commission for UNESCO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7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</w:tabs>
              <w:autoSpaceDE w:val="0"/>
              <w:widowControl/>
              <w:spacing w:line="278" w:lineRule="exact" w:before="260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At the request of the Secretary General and with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concurrence of the Minister, any officer in the 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public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 may, with the consent of that officer and of the 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staff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 Commission be temporarily assigned to the staff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5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for such period as may be determined 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5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with like consent, or be permanently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802" w:after="0"/>
              <w:ind w:left="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officers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higher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educational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institutions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to such staff.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Where any officer in the public service is temporarily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to the staff of the Commission,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 of section 14 of the National Transport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Act, No. 37 of 1991 shall,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apply to, and in relation to such officer.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Where any officer in the public service is permanently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to the staff of the Commission,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of section 14 of the National Transport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Act, No. 37 of 1991 shall,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apply, to and in relation to such officer.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4" w:after="0"/>
              <w:ind w:left="5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At the request of the Commission, any officer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employee of any higher educational institution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under the Universities Act, No. 16 of 1978 may,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7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consent of that officer or the employee and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principal executive officer of that higher educational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institution, be temporarily appointed to the staff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 Such appointment shall be for a period as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by the Commission or with like consent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permanently appointed to such staff, on such terms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conditions, including those relating to pension or provident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 rights, as may be agreed upon by the Commission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principal executive officer.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Where any person is temporarily appointed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staff of the Commission under subsection (1) such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subject to the same disciplinary control as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of the staff of the Commission.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250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 National Commission for UNESCO</w:t>
      </w:r>
    </w:p>
    <w:p>
      <w:pPr>
        <w:autoSpaceDN w:val="0"/>
        <w:autoSpaceDE w:val="0"/>
        <w:widowControl/>
        <w:spacing w:line="268" w:lineRule="exact" w:before="500" w:after="0"/>
        <w:ind w:left="0" w:right="45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66" w:lineRule="exact" w:before="222" w:after="162"/>
        <w:ind w:left="0" w:right="46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2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6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initial capital of the Commission–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2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Capital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shall be such sum as may be determined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by way of a resolution;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160" w:after="162"/>
        <w:ind w:left="3022" w:right="2516" w:hanging="33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may be increased by such amounts as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authorized by an Appropriation Act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any resolution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3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2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have its own Fund.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144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444"/>
        </w:trPr>
        <w:tc>
          <w:tcPr>
            <w:tcW w:type="dxa" w:w="2255"/>
            <w:vMerge/>
            <w:tcBorders/>
          </w:tcPr>
          <w:p/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Fund of the Commission shall comprise of-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3022" w:val="left"/>
        </w:tabs>
        <w:autoSpaceDE w:val="0"/>
        <w:widowControl/>
        <w:spacing w:line="244" w:lineRule="exact" w:before="184" w:after="162"/>
        <w:ind w:left="268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such sums of money as may be voted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time to time by Parliament;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45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6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172" w:after="0"/>
              <w:ind w:left="0" w:right="5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974" w:after="0"/>
              <w:ind w:left="0" w:right="5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2" w:after="0"/>
              <w:ind w:left="902" w:right="1256" w:hanging="33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all such sums of money as may be received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Commission by way of interest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investments, donations, gifts or grants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source whatsoever, whether within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outside Sri Lanka:</w:t>
            </w:r>
          </w:p>
          <w:p>
            <w:pPr>
              <w:autoSpaceDN w:val="0"/>
              <w:autoSpaceDE w:val="0"/>
              <w:widowControl/>
              <w:spacing w:line="244" w:lineRule="exact" w:before="244" w:after="0"/>
              <w:ind w:left="90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the Commission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obtain the prior written approval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Department of External Resources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Ministry of the Minister assigned the subject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Finance, in respect of all foreign grants,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gifts or donations made and loans,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donations, gifts, bequests, and grants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received from any source within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credited to the Consolidated Fund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shall thereafter, with the approval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Parliament, be credited to the Fund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2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Lanka National Commission for UNESCO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30" w:lineRule="exact" w:before="492" w:after="0"/>
        <w:ind w:left="2736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sums of money received as income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investments made by the Commission.</w:t>
      </w:r>
    </w:p>
    <w:p>
      <w:pPr>
        <w:autoSpaceDN w:val="0"/>
        <w:autoSpaceDE w:val="0"/>
        <w:widowControl/>
        <w:spacing w:line="266" w:lineRule="exact" w:before="190" w:after="13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There shall be paid out of the Fund of the Commission-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107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0" w:right="3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738" w:right="1202" w:hanging="36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all such sums of money as are required to defray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expenditure incurred by the Commission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exercise, performance and discharge of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 functions under this Act;</w:t>
            </w:r>
          </w:p>
        </w:tc>
      </w:tr>
    </w:tbl>
    <w:p>
      <w:pPr>
        <w:autoSpaceDN w:val="0"/>
        <w:tabs>
          <w:tab w:pos="2758" w:val="left"/>
        </w:tabs>
        <w:autoSpaceDE w:val="0"/>
        <w:widowControl/>
        <w:spacing w:line="228" w:lineRule="exact" w:before="168" w:after="130"/>
        <w:ind w:left="23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such sums of money as are required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paid out of the Fund by or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10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790" w:val="left"/>
              </w:tabs>
              <w:autoSpaceDE w:val="0"/>
              <w:widowControl/>
              <w:spacing w:line="224" w:lineRule="exact" w:before="112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Commission may open and maintain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account with any bank as it may think appropriate, and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account shall be operated in accordance with the prevailing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regulations of the Government.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maintain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  <w:tr>
        <w:trPr>
          <w:trHeight w:hRule="exact" w:val="11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2" w:val="left"/>
                <w:tab w:pos="826" w:val="left"/>
              </w:tabs>
              <w:autoSpaceDE w:val="0"/>
              <w:widowControl/>
              <w:spacing w:line="224" w:lineRule="exact" w:before="150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moneys belonging to the Commission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invested by the Commission in such manner and collect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income accruing from such investments as may be determined,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such directions as may be given by the Minister.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Investment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moneys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76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year of Commission shall be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year and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of the</w:t>
            </w:r>
          </w:p>
        </w:tc>
      </w:tr>
      <w:tr>
        <w:trPr>
          <w:trHeight w:hRule="exact" w:val="19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0" w:after="0"/>
              <w:ind w:left="76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Commission shall cause proper books of accounts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be kept of the income and expenditure, assets and liabilities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all other transactions of the Commission.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18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51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2" w:after="0"/>
              <w:ind w:left="76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provisions of Article 154 of the Constitution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to the audit of the accounts of public corporations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apply to, and in relation to the audit of the accounts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30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66" w:lineRule="exact" w:before="190" w:after="130"/>
        <w:ind w:left="0" w:right="4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 from time to time give such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or special directions in writing to the Commission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Directions of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Minister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250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 National Commission for UNESCO</w:t>
      </w:r>
    </w:p>
    <w:p>
      <w:pPr>
        <w:autoSpaceDN w:val="0"/>
        <w:autoSpaceDE w:val="0"/>
        <w:widowControl/>
        <w:spacing w:line="240" w:lineRule="exact" w:before="482" w:after="15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to the exercise, perform and discharge the powers, duties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functions of the Commission and it shall be the duty of </w:t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to comply with such directions.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Minister may from time to time, Order all or any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activities of the Commission to be investigated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reported upon by such person or persons as he may specify,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upon such Order being made, the Commission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afford all such facilities and furnish all such information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person or persons as may be necessary to give effect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Order.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2" w:val="left"/>
              </w:tabs>
              <w:autoSpaceDE w:val="0"/>
              <w:widowControl/>
              <w:spacing w:line="278" w:lineRule="exact" w:before="108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shall, within a period of six months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the closure of each financial year, submit a report giving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 to be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placed before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full account of its activities during that year to the Minister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shall cause such report to be placed before Parliament,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prior to the end of the year next following the year to which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 members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report relates.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108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members of the Commission, officers and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of the Commission shall be deemed to be public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servants within the meaning and for the purpose of the Penal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etc. deemed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Code (Chapter 19).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public</w:t>
            </w:r>
          </w:p>
        </w:tc>
      </w:tr>
      <w:tr>
        <w:trPr>
          <w:trHeight w:hRule="exact" w:val="22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754" w:val="left"/>
              </w:tabs>
              <w:autoSpaceDE w:val="0"/>
              <w:widowControl/>
              <w:spacing w:line="236" w:lineRule="exact" w:before="246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Commission shall be deemed to be a Scheduled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 within the meaning of the Bribery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(Chapter 26) and the provisions of that Act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construed accordingly.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Servants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Scheduled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758" w:val="left"/>
              </w:tabs>
              <w:autoSpaceDE w:val="0"/>
              <w:widowControl/>
              <w:spacing w:line="238" w:lineRule="exact" w:before="146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Any expense incurred by the Commission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suit or prosecution brought by or against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before any court shall be paid out of the Fund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Commission, and any costs paid to, or recovered by,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Commission in any such suit or prosecution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credited to the Fund of the Commission.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action</w:t>
            </w:r>
          </w:p>
        </w:tc>
      </w:tr>
      <w:tr>
        <w:trPr>
          <w:trHeight w:hRule="exact" w:val="20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taken under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 or on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directions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40" w:lineRule="exact" w:before="17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expense incurred by any person in any suit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prosecution brought against him before any court in respect </w:t>
      </w:r>
      <w:r>
        <w:rPr>
          <w:rFonts w:ascii="Times" w:hAnsi="Times" w:eastAsia="Times"/>
          <w:b w:val="0"/>
          <w:i w:val="0"/>
          <w:color w:val="000000"/>
          <w:sz w:val="20"/>
        </w:rPr>
        <w:t>of any act which is done by him under this Act, or on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2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Lanka National Commission for UNESCO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40" w:lineRule="exact" w:before="506" w:after="15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of the Commission shall, if the court holds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act was done in good faith, be paid out of the Fund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unless such expense is recovered by him in </w:t>
      </w:r>
      <w:r>
        <w:rPr>
          <w:rFonts w:ascii="Times" w:hAnsi="Times" w:eastAsia="Times"/>
          <w:b w:val="0"/>
          <w:i w:val="0"/>
          <w:color w:val="000000"/>
          <w:sz w:val="20"/>
        </w:rPr>
        <w:t>such suit or 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62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</w:tabs>
              <w:autoSpaceDE w:val="0"/>
              <w:widowControl/>
              <w:spacing w:line="228" w:lineRule="exact" w:before="110" w:after="0"/>
              <w:ind w:left="5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of–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 make rules in respect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0" w:lineRule="exact" w:before="180" w:after="154"/>
        <w:ind w:left="216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appointment, employment and dismissal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officers and their powers, duties and functions;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4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618" w:right="1202" w:hanging="35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procedure to be observed at the summoning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holding of meetings, annual general meeting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extraordinary meetings of the Commission;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0" w:lineRule="exact" w:before="180" w:after="154"/>
        <w:ind w:left="217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administration and management of the affairs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4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8" w:val="left"/>
              </w:tabs>
              <w:autoSpaceDE w:val="0"/>
              <w:widowControl/>
              <w:spacing w:line="240" w:lineRule="exact" w:before="86" w:after="0"/>
              <w:ind w:left="26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all matters in respect of which, rules are required or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authorized to be made under this Act.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0" w:lineRule="exact" w:before="16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rule made under subsection (1)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approved by the Minister.</w:t>
      </w:r>
    </w:p>
    <w:p>
      <w:pPr>
        <w:autoSpaceDN w:val="0"/>
        <w:autoSpaceDE w:val="0"/>
        <w:widowControl/>
        <w:spacing w:line="240" w:lineRule="exact" w:before="240" w:after="144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rule so approved shall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upon such publication.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59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8" w:val="left"/>
              </w:tabs>
              <w:autoSpaceDE w:val="0"/>
              <w:widowControl/>
              <w:spacing w:line="278" w:lineRule="exact" w:before="7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 make regulations in respect of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matters which are required by this Act to be prescribed or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36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authorized to be made 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Every regulation made by the Minister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and shall come into operation 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such publication or on such later date as may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the regulation.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by the Minister shall,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from its publication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brought </w:t>
      </w:r>
      <w:r>
        <w:rPr>
          <w:rFonts w:ascii="Times" w:hAnsi="Times" w:eastAsia="Times"/>
          <w:b w:val="0"/>
          <w:i w:val="0"/>
          <w:color w:val="000000"/>
          <w:sz w:val="20"/>
        </w:rPr>
        <w:t>before Parliament for approval. Any such regulation, which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250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 National Commission for UNESCO</w:t>
      </w:r>
    </w:p>
    <w:p>
      <w:pPr>
        <w:autoSpaceDN w:val="0"/>
        <w:autoSpaceDE w:val="0"/>
        <w:widowControl/>
        <w:spacing w:line="240" w:lineRule="exact" w:before="482" w:after="154"/>
        <w:ind w:left="1702" w:right="25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 not so approved shall be deemed to be rescinded as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such disapproval, but without prejudice to </w:t>
      </w:r>
      <w:r>
        <w:rPr>
          <w:rFonts w:ascii="Times" w:hAnsi="Times" w:eastAsia="Times"/>
          <w:b w:val="0"/>
          <w:i w:val="0"/>
          <w:color w:val="000000"/>
          <w:sz w:val="20"/>
        </w:rPr>
        <w:t>anything previously done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Notification of the date on which any regulation is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to be rescinded under subsection (3),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required:-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“expert” means a professional with specialized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competence in any one of the areas of UNESCO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programmes;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44" w:after="154"/>
        <w:ind w:left="2782" w:right="251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assigned the subject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Education under Article 44 or 45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4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4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2" w:val="left"/>
              </w:tabs>
              <w:autoSpaceDE w:val="0"/>
              <w:widowControl/>
              <w:spacing w:line="240" w:lineRule="exact" w:before="8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“UNESCO” means United Nations Educational,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Scientific and Cultural Organization;</w:t>
            </w:r>
          </w:p>
        </w:tc>
      </w:tr>
    </w:tbl>
    <w:p>
      <w:pPr>
        <w:autoSpaceDN w:val="0"/>
        <w:autoSpaceDE w:val="0"/>
        <w:widowControl/>
        <w:spacing w:line="240" w:lineRule="exact" w:before="166" w:after="152"/>
        <w:ind w:left="2782" w:right="251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“UNESCO Programmes” means the five UNESCO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areas of competence and includes Education,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Natural Sciences, Social and Human Sciences,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Culture and Communication and 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8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790" w:val="left"/>
              </w:tabs>
              <w:autoSpaceDE w:val="0"/>
              <w:widowControl/>
              <w:spacing w:line="236" w:lineRule="exact" w:before="102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598"/>
        </w:trPr>
        <w:tc>
          <w:tcPr>
            <w:tcW w:type="dxa" w:w="47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91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National Commission for UNESCO</w:t>
            </w:r>
          </w:p>
        </w:tc>
        <w:tc>
          <w:tcPr>
            <w:tcW w:type="dxa" w:w="14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</w:tr>
    </w:tbl>
    <w:p>
      <w:pPr>
        <w:autoSpaceDN w:val="0"/>
        <w:autoSpaceDE w:val="0"/>
        <w:widowControl/>
        <w:spacing w:line="150" w:lineRule="exact" w:before="14" w:after="0"/>
        <w:ind w:left="0" w:right="3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