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8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PAVITHRA WANNIARACHCHI SAHURDA </w:t>
      </w:r>
      <w:r>
        <w:rPr>
          <w:rFonts w:ascii="Times" w:hAnsi="Times" w:eastAsia="Times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5" w:lineRule="auto" w:before="454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1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42" w:after="0"/>
        <w:ind w:left="172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Pavithra Wanniarachchi Sahurda Foundation</w:t>
      </w:r>
    </w:p>
    <w:p>
      <w:pPr>
        <w:autoSpaceDN w:val="0"/>
        <w:autoSpaceDE w:val="0"/>
        <w:widowControl/>
        <w:spacing w:line="238" w:lineRule="auto" w:before="22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448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Lalith Ellawala, M. 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Kalutara District on 21st of September, 2022</w:t>
      </w:r>
    </w:p>
    <w:p>
      <w:pPr>
        <w:autoSpaceDN w:val="0"/>
        <w:autoSpaceDE w:val="0"/>
        <w:widowControl/>
        <w:spacing w:line="235" w:lineRule="auto" w:before="25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05,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151]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Pavithra Wanniarachchi Sahurda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57" w:lineRule="auto" w:before="27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AVITHRA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ANNIARACHCHI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AHURDA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“Pavithra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 Sahurda Foundation”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for the purpose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objects and matters and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foundation according to the rules agreed to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71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Pavithra Wanniarachchi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Sahurda Foundation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2022.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“Pavithra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Pavithra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Wanniarachchi Sahurda Foundation”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Wanniarachchi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“Foundation”)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Sahurda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perpetual succession, under the name and style “Pavithra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 Sahurda Foundation” (hereinafter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“Corporation”) and by that name may sue and be sued, </w:t>
      </w:r>
      <w:r>
        <w:rPr>
          <w:rFonts w:ascii="Times" w:hAnsi="Times" w:eastAsia="Times"/>
          <w:b w:val="0"/>
          <w:i w:val="0"/>
          <w:color w:val="221F1F"/>
          <w:sz w:val="20"/>
        </w:rPr>
        <w:t>and have full power and  authority to have and use a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08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56" w:after="18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integration and cooperation with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gathered with Mrs. Pavithra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Wanniarachchi, the active of the leader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Ratnapura District political camp of Sri Lanka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sign of the Darmadasa Wanniarachchi, Pavithra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Wanniarachchi, contender of genuine political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vision, unconditional and dedicated efforts beyond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limits and in order to work with her;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Contributing with maximum level of effort and skill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belongs to us to work with participatory manner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individually and hormonally in the political,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social, economical, cultural and all other common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with Mrs. Pavithra Wanniarachchi,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leading politician;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ethics and culture, create necessary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and maintain;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protecting the social values and arranging required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programs in order to maintain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improving religious harmony and providing in need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support, sponsorship and providing donations;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organizing programs in order to enhance cooperation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unity among various communities live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executing the activities which were decided by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to be implemented for the well being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people;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of the affairs of the Corporation shall,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other provisions of this Act and the rules in force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being of the corporation be administered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consisting of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Secretary, Treasurer and another two members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8" w:val="left"/>
          <w:tab w:pos="6782" w:val="left"/>
        </w:tabs>
        <w:autoSpaceDE w:val="0"/>
        <w:widowControl/>
        <w:spacing w:line="245" w:lineRule="auto" w:before="0" w:after="0"/>
        <w:ind w:left="310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086" w:val="left"/>
          <w:tab w:pos="2326" w:val="left"/>
        </w:tabs>
        <w:autoSpaceDE w:val="0"/>
        <w:widowControl/>
        <w:spacing w:line="271" w:lineRule="auto" w:before="27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founder member of the Foundation, 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Pavithra Wanniarachchi shall be the Chairman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Directors for life thereafter, the familly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was holding office as the Chairman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next Chairman of the Board of Directors.</w:t>
      </w:r>
    </w:p>
    <w:p>
      <w:pPr>
        <w:autoSpaceDN w:val="0"/>
        <w:autoSpaceDE w:val="0"/>
        <w:widowControl/>
        <w:spacing w:line="269" w:lineRule="auto" w:before="310" w:after="240"/>
        <w:ind w:left="208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Governors Board holding office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74" w:lineRule="auto" w:before="22" w:after="18"/>
        <w:ind w:left="17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any 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to open, operate or close bank accounts, to borrow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raise moneys with or without security to receive or collect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 grants and donations to invest its funds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required for the carrying out of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3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2086" w:val="left"/>
        </w:tabs>
        <w:autoSpaceDE w:val="0"/>
        <w:widowControl/>
        <w:spacing w:line="271" w:lineRule="auto" w:before="20" w:after="0"/>
        <w:ind w:left="17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 present 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on all or any of the following matters:–</w:t>
      </w:r>
    </w:p>
    <w:p>
      <w:pPr>
        <w:autoSpaceDN w:val="0"/>
        <w:tabs>
          <w:tab w:pos="2806" w:val="left"/>
        </w:tabs>
        <w:autoSpaceDE w:val="0"/>
        <w:widowControl/>
        <w:spacing w:line="259" w:lineRule="auto" w:before="294" w:after="0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806" w:val="left"/>
        </w:tabs>
        <w:autoSpaceDE w:val="0"/>
        <w:widowControl/>
        <w:spacing w:line="259" w:lineRule="auto" w:before="308" w:after="0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resignation 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of office bearers</w:t>
      </w:r>
    </w:p>
    <w:p>
      <w:pPr>
        <w:autoSpaceDN w:val="0"/>
        <w:tabs>
          <w:tab w:pos="2806" w:val="left"/>
        </w:tabs>
        <w:autoSpaceDE w:val="0"/>
        <w:widowControl/>
        <w:spacing w:line="266" w:lineRule="auto" w:before="38" w:after="0"/>
        <w:ind w:left="17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08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278" w:after="26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conduct,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duration of term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of the time, places, notices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thereof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business thereof;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26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of the Corporation, the custody of its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maintenance and audit of its accounts: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1" w:lineRule="auto" w:before="326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Corporation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members of Corporation shall  be subject to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6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Corporation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 by the Corporation hereby constituted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Corporation on that day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200"/>
        <w:ind w:left="28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1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 heretofore or hereafter to be received by way of gifts,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bequest, donation, subscription, contribution, fees or grants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Body Corporate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shall determine.</w:t>
      </w:r>
    </w:p>
    <w:p>
      <w:pPr>
        <w:autoSpaceDN w:val="0"/>
        <w:autoSpaceDE w:val="0"/>
        <w:widowControl/>
        <w:spacing w:line="254" w:lineRule="auto" w:before="276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power, duties and function under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or immovable which may become vested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lease,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21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2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08" w:val="left"/>
          <w:tab w:pos="295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57" w:lineRule="auto" w:before="2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76" w:after="0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6" w:after="20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Corporation,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Pavithra Wanniarachchi Sahurda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Foundation 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