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522"/>
        <w:ind w:left="0" w:right="0"/>
      </w:pPr>
    </w:p>
    <w:p>
      <w:pPr>
        <w:autoSpaceDN w:val="0"/>
        <w:autoSpaceDE w:val="0"/>
        <w:widowControl/>
        <w:spacing w:line="362" w:lineRule="auto" w:before="146" w:after="0"/>
        <w:ind w:left="1728" w:right="1584" w:firstLine="0"/>
        <w:jc w:val="center"/>
      </w:pPr>
      <w:r>
        <w:rPr>
          <w:rFonts w:ascii="Times" w:hAnsi="Times" w:eastAsia="Times"/>
          <w:b/>
          <w:i w:val="0"/>
          <w:color w:val="221F1F"/>
          <w:sz w:val="30"/>
        </w:rPr>
        <w:t xml:space="preserve">THE GAZETTE OF THE DEMOCRATIC </w:t>
      </w:r>
      <w:r>
        <w:rPr>
          <w:rFonts w:ascii="Times" w:hAnsi="Times" w:eastAsia="Times"/>
          <w:b/>
          <w:i w:val="0"/>
          <w:color w:val="221F1F"/>
          <w:sz w:val="30"/>
        </w:rPr>
        <w:t xml:space="preserve">SOCIALIST REPUBLIC OF </w:t>
      </w:r>
      <w:r>
        <w:br/>
      </w:r>
      <w:r>
        <w:rPr>
          <w:rFonts w:ascii="Times" w:hAnsi="Times" w:eastAsia="Times"/>
          <w:b/>
          <w:i w:val="0"/>
          <w:color w:val="221F1F"/>
          <w:sz w:val="30"/>
        </w:rPr>
        <w:t xml:space="preserve">SRI LANKA </w:t>
      </w:r>
      <w:r>
        <w:br/>
      </w:r>
      <w:r>
        <w:rPr>
          <w:rFonts w:ascii="Times" w:hAnsi="Times" w:eastAsia="Times"/>
          <w:b/>
          <w:i w:val="0"/>
          <w:color w:val="221F1F"/>
          <w:sz w:val="24"/>
        </w:rPr>
        <w:t xml:space="preserve">Part II of September 23, 2022 </w:t>
      </w:r>
      <w:r>
        <w:br/>
      </w:r>
      <w:r>
        <w:rPr>
          <w:rFonts w:ascii="Times" w:hAnsi="Times" w:eastAsia="Times"/>
          <w:b/>
          <w:i w:val="0"/>
          <w:color w:val="221F1F"/>
          <w:sz w:val="24"/>
        </w:rPr>
        <w:t xml:space="preserve">SUPPLEMENT </w:t>
      </w:r>
      <w:r>
        <w:br/>
      </w:r>
      <w:r>
        <w:rPr>
          <w:rFonts w:ascii="Times" w:hAnsi="Times" w:eastAsia="Times"/>
          <w:b w:val="0"/>
          <w:i/>
          <w:color w:val="221F1F"/>
          <w:sz w:val="24"/>
        </w:rPr>
        <w:t>(Issued on 27.09.2022)</w:t>
      </w:r>
    </w:p>
    <w:p>
      <w:pPr>
        <w:autoSpaceDN w:val="0"/>
        <w:autoSpaceDE w:val="0"/>
        <w:widowControl/>
        <w:spacing w:line="240" w:lineRule="auto" w:before="326" w:after="0"/>
        <w:ind w:left="0" w:right="379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06450" cy="108331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415" w:lineRule="auto" w:before="402" w:after="0"/>
        <w:ind w:left="2304" w:right="2304" w:firstLine="0"/>
        <w:jc w:val="center"/>
      </w:pPr>
      <w:r>
        <w:rPr>
          <w:rFonts w:ascii="Times" w:hAnsi="Times" w:eastAsia="Times"/>
          <w:b/>
          <w:i w:val="0"/>
          <w:color w:val="221F1F"/>
          <w:sz w:val="24"/>
        </w:rPr>
        <w:t xml:space="preserve">VALUE ADDED TAX (AMENDMENT) </w:t>
      </w:r>
      <w:r>
        <w:br/>
      </w:r>
      <w:r>
        <w:rPr>
          <w:rFonts w:ascii="Times" w:hAnsi="Times" w:eastAsia="Times"/>
          <w:b/>
          <w:i w:val="0"/>
          <w:color w:val="221F1F"/>
          <w:sz w:val="24"/>
        </w:rPr>
        <w:t xml:space="preserve">A </w:t>
      </w:r>
      <w:r>
        <w:br/>
      </w:r>
      <w:r>
        <w:rPr>
          <w:rFonts w:ascii="Times" w:hAnsi="Times" w:eastAsia="Times"/>
          <w:b/>
          <w:i w:val="0"/>
          <w:color w:val="221F1F"/>
          <w:sz w:val="24"/>
        </w:rPr>
        <w:t>BILL</w:t>
      </w:r>
    </w:p>
    <w:p>
      <w:pPr>
        <w:autoSpaceDN w:val="0"/>
        <w:autoSpaceDE w:val="0"/>
        <w:widowControl/>
        <w:spacing w:line="238" w:lineRule="auto" w:before="370" w:after="0"/>
        <w:ind w:left="0" w:right="2324" w:firstLine="0"/>
        <w:jc w:val="right"/>
      </w:pPr>
      <w:r>
        <w:rPr>
          <w:rFonts w:ascii="Times" w:hAnsi="Times" w:eastAsia="Times"/>
          <w:b/>
          <w:i w:val="0"/>
          <w:color w:val="000000"/>
          <w:sz w:val="20"/>
        </w:rPr>
        <w:t>to amend the Value Added Tax Act, No. 14 of 2002</w:t>
      </w:r>
    </w:p>
    <w:p>
      <w:pPr>
        <w:autoSpaceDN w:val="0"/>
        <w:autoSpaceDE w:val="0"/>
        <w:widowControl/>
        <w:spacing w:line="355" w:lineRule="auto" w:before="392" w:after="0"/>
        <w:ind w:left="2304" w:right="2304" w:firstLine="0"/>
        <w:jc w:val="center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Ordered to be published by the Minister of Finance, </w:t>
      </w:r>
      <w:r>
        <w:br/>
      </w:r>
      <w:r>
        <w:rPr>
          <w:rFonts w:ascii="Times" w:hAnsi="Times" w:eastAsia="Times"/>
          <w:b w:val="0"/>
          <w:i/>
          <w:color w:val="221F1F"/>
          <w:sz w:val="20"/>
        </w:rPr>
        <w:t xml:space="preserve">Economic Stabilization &amp; National Policies </w:t>
      </w:r>
      <w:r>
        <w:br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LANKA</w:t>
      </w:r>
    </w:p>
    <w:p>
      <w:pPr>
        <w:autoSpaceDN w:val="0"/>
        <w:autoSpaceDE w:val="0"/>
        <w:widowControl/>
        <w:spacing w:line="235" w:lineRule="auto" w:before="12" w:after="0"/>
        <w:ind w:left="0" w:right="2378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6102" w:val="left"/>
        </w:tabs>
        <w:autoSpaceDE w:val="0"/>
        <w:widowControl/>
        <w:spacing w:line="238" w:lineRule="auto" w:before="152" w:after="0"/>
        <w:ind w:left="1438" w:right="0" w:firstLine="0"/>
        <w:jc w:val="left"/>
      </w:pPr>
      <w:r>
        <w:rPr>
          <w:rFonts w:ascii="Times" w:hAnsi="Times" w:eastAsia="Times"/>
          <w:b/>
          <w:i w:val="0"/>
          <w:color w:val="221F1F"/>
          <w:sz w:val="20"/>
        </w:rPr>
        <w:t xml:space="preserve">Price : Rs. 12.00 </w:t>
      </w:r>
      <w:r>
        <w:tab/>
      </w:r>
      <w:r>
        <w:rPr>
          <w:rFonts w:ascii="Times" w:hAnsi="Times" w:eastAsia="Times"/>
          <w:b/>
          <w:i w:val="0"/>
          <w:color w:val="221F1F"/>
          <w:sz w:val="20"/>
        </w:rPr>
        <w:t>Postage : Rs. 15.00</w:t>
      </w:r>
    </w:p>
    <w:p>
      <w:pPr>
        <w:autoSpaceDN w:val="0"/>
        <w:tabs>
          <w:tab w:pos="6912" w:val="left"/>
        </w:tabs>
        <w:autoSpaceDE w:val="0"/>
        <w:widowControl/>
        <w:spacing w:line="240" w:lineRule="auto" w:before="152" w:after="0"/>
        <w:ind w:left="143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16"/>
        </w:rPr>
        <w:t xml:space="preserve">This Gazette Supplement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29" cy="48132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29" cy="4813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30"/>
        <w:ind w:left="0" w:right="0"/>
      </w:pPr>
    </w:p>
    <w:p>
      <w:pPr>
        <w:autoSpaceDN w:val="0"/>
        <w:autoSpaceDE w:val="0"/>
        <w:widowControl/>
        <w:spacing w:line="235" w:lineRule="auto" w:before="0" w:after="0"/>
        <w:ind w:left="0" w:right="3214" w:firstLine="0"/>
        <w:jc w:val="right"/>
      </w:pPr>
      <w:r>
        <w:rPr>
          <w:rFonts w:ascii="Times" w:hAnsi="Times" w:eastAsia="Times"/>
          <w:b w:val="0"/>
          <w:i/>
          <w:color w:val="000000"/>
          <w:sz w:val="16"/>
        </w:rPr>
        <w:t>STATEMENT OF LEGAL EFFECT</w:t>
      </w:r>
    </w:p>
    <w:p>
      <w:pPr>
        <w:autoSpaceDN w:val="0"/>
        <w:autoSpaceDE w:val="0"/>
        <w:widowControl/>
        <w:spacing w:line="254" w:lineRule="auto" w:before="222" w:after="0"/>
        <w:ind w:left="1344" w:right="1436" w:firstLine="240"/>
        <w:jc w:val="both"/>
      </w:pPr>
      <w:r>
        <w:rPr>
          <w:rFonts w:ascii="Times" w:hAnsi="Times" w:eastAsia="Times"/>
          <w:b w:val="0"/>
          <w:i/>
          <w:color w:val="000000"/>
          <w:sz w:val="16"/>
        </w:rPr>
        <w:t xml:space="preserve">Clause  2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: This clause amends section 2 of the Value Added Tax Act, No. 14 of 2002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(hereinafter referred to as the “principal enactment”), and the legal effect of that section as </w:t>
      </w:r>
      <w:r>
        <w:rPr>
          <w:rFonts w:ascii="Times" w:hAnsi="Times" w:eastAsia="Times"/>
          <w:b w:val="0"/>
          <w:i w:val="0"/>
          <w:color w:val="000000"/>
          <w:sz w:val="16"/>
        </w:rPr>
        <w:t>amended is to increase the VAT rate–</w:t>
      </w:r>
    </w:p>
    <w:p>
      <w:pPr>
        <w:autoSpaceDN w:val="0"/>
        <w:autoSpaceDE w:val="0"/>
        <w:widowControl/>
        <w:spacing w:line="235" w:lineRule="auto" w:before="222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>(i) from 8% to 12% with effect from June 1, 2022 to August 31, 2022; and</w:t>
      </w:r>
    </w:p>
    <w:p>
      <w:pPr>
        <w:autoSpaceDN w:val="0"/>
        <w:autoSpaceDE w:val="0"/>
        <w:widowControl/>
        <w:spacing w:line="238" w:lineRule="auto" w:before="220" w:after="0"/>
        <w:ind w:left="173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(ii) from 12% to 15% with effect from September 1, 2022,</w:t>
      </w:r>
    </w:p>
    <w:p>
      <w:pPr>
        <w:autoSpaceDN w:val="0"/>
        <w:autoSpaceDE w:val="0"/>
        <w:widowControl/>
        <w:spacing w:line="235" w:lineRule="auto" w:before="222" w:after="0"/>
        <w:ind w:left="134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on the value of goods or services supplied, or goods imported.</w:t>
      </w:r>
    </w:p>
    <w:p>
      <w:pPr>
        <w:autoSpaceDN w:val="0"/>
        <w:autoSpaceDE w:val="0"/>
        <w:widowControl/>
        <w:spacing w:line="254" w:lineRule="auto" w:before="220" w:after="0"/>
        <w:ind w:left="1344" w:right="1434" w:firstLine="240"/>
        <w:jc w:val="both"/>
      </w:pPr>
      <w:r>
        <w:rPr>
          <w:rFonts w:ascii="Times" w:hAnsi="Times" w:eastAsia="Times"/>
          <w:b w:val="0"/>
          <w:i/>
          <w:color w:val="000000"/>
          <w:sz w:val="16"/>
        </w:rPr>
        <w:t xml:space="preserve">Clause 3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: This clause amends section 10 of the principal enactment and the legal effect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that section as amended is to decrease the threshold of registration for VAT from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Rs. 300 million to Rs. 80 million </w:t>
      </w:r>
      <w:r>
        <w:rPr>
          <w:rFonts w:ascii="Times" w:hAnsi="Times" w:eastAsia="Times"/>
          <w:b w:val="0"/>
          <w:i/>
          <w:color w:val="000000"/>
          <w:sz w:val="16"/>
        </w:rPr>
        <w:t>per annum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with effect from October 1, 2022.</w:t>
      </w:r>
    </w:p>
    <w:p>
      <w:pPr>
        <w:autoSpaceDN w:val="0"/>
        <w:autoSpaceDE w:val="0"/>
        <w:widowControl/>
        <w:spacing w:line="254" w:lineRule="auto" w:before="220" w:after="0"/>
        <w:ind w:left="1344" w:right="1436" w:firstLine="240"/>
        <w:jc w:val="both"/>
      </w:pPr>
      <w:r>
        <w:rPr>
          <w:rFonts w:ascii="Times" w:hAnsi="Times" w:eastAsia="Times"/>
          <w:b w:val="0"/>
          <w:i/>
          <w:color w:val="000000"/>
          <w:sz w:val="16"/>
        </w:rPr>
        <w:t>Clause 4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: This clause amends Part II of the First Schedule to the principal enactment in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order to remove the VAT exemption on condominium residential apartments with effect </w:t>
      </w:r>
      <w:r>
        <w:rPr>
          <w:rFonts w:ascii="Times" w:hAnsi="Times" w:eastAsia="Times"/>
          <w:b w:val="0"/>
          <w:i w:val="0"/>
          <w:color w:val="000000"/>
          <w:sz w:val="16"/>
        </w:rPr>
        <w:t>from October 1, 2022.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60.0" w:type="dxa"/>
      </w:tblPr>
      <w:tblGrid>
        <w:gridCol w:w="4510"/>
        <w:gridCol w:w="4510"/>
      </w:tblGrid>
      <w:tr>
        <w:trPr>
          <w:trHeight w:hRule="exact" w:val="286"/>
        </w:trPr>
        <w:tc>
          <w:tcPr>
            <w:tcW w:type="dxa" w:w="4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51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Value Added Tax (Amendment)</w:t>
            </w:r>
          </w:p>
        </w:tc>
        <w:tc>
          <w:tcPr>
            <w:tcW w:type="dxa" w:w="1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20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5" w:lineRule="auto" w:before="446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L. D.— O. 16/2022</w:t>
      </w:r>
    </w:p>
    <w:p>
      <w:pPr>
        <w:autoSpaceDN w:val="0"/>
        <w:autoSpaceDE w:val="0"/>
        <w:widowControl/>
        <w:spacing w:line="238" w:lineRule="auto" w:before="294" w:after="0"/>
        <w:ind w:left="185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AMEND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V</w:t>
      </w:r>
      <w:r>
        <w:rPr>
          <w:rFonts w:ascii="Times" w:hAnsi="Times" w:eastAsia="Times"/>
          <w:b w:val="0"/>
          <w:i w:val="0"/>
          <w:color w:val="221F1F"/>
          <w:sz w:val="14"/>
        </w:rPr>
        <w:t>ALUE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DDED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T</w:t>
      </w:r>
      <w:r>
        <w:rPr>
          <w:rFonts w:ascii="Times" w:hAnsi="Times" w:eastAsia="Times"/>
          <w:b w:val="0"/>
          <w:i w:val="0"/>
          <w:color w:val="221F1F"/>
          <w:sz w:val="14"/>
        </w:rPr>
        <w:t>AX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20"/>
        </w:rPr>
        <w:t>, N</w:t>
      </w:r>
      <w:r>
        <w:rPr>
          <w:rFonts w:ascii="Times" w:hAnsi="Times" w:eastAsia="Times"/>
          <w:b w:val="0"/>
          <w:i w:val="0"/>
          <w:color w:val="221F1F"/>
          <w:sz w:val="14"/>
        </w:rPr>
        <w:t>O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. 14 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2002</w:t>
      </w:r>
    </w:p>
    <w:p>
      <w:pPr>
        <w:autoSpaceDN w:val="0"/>
        <w:autoSpaceDE w:val="0"/>
        <w:widowControl/>
        <w:spacing w:line="254" w:lineRule="auto" w:before="292" w:after="232"/>
        <w:ind w:left="179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BE it enacted by the Parliament of the Democratic Socialist </w:t>
      </w:r>
      <w:r>
        <w:rPr>
          <w:rFonts w:ascii="Times" w:hAnsi="Times" w:eastAsia="Times"/>
          <w:b w:val="0"/>
          <w:i w:val="0"/>
          <w:color w:val="221F1F"/>
          <w:sz w:val="20"/>
        </w:rPr>
        <w:t>Republic of Sri Lanka as follows:-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00.0" w:type="dxa"/>
      </w:tblPr>
      <w:tblGrid>
        <w:gridCol w:w="3007"/>
        <w:gridCol w:w="3007"/>
        <w:gridCol w:w="3007"/>
      </w:tblGrid>
      <w:tr>
        <w:trPr>
          <w:trHeight w:hRule="exact" w:val="304"/>
        </w:trPr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8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This Act may be cited as the Value Added Tax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Short title</w:t>
            </w:r>
          </w:p>
        </w:tc>
      </w:tr>
    </w:tbl>
    <w:p>
      <w:pPr>
        <w:autoSpaceDN w:val="0"/>
        <w:autoSpaceDE w:val="0"/>
        <w:widowControl/>
        <w:spacing w:line="238" w:lineRule="auto" w:before="16" w:after="232"/>
        <w:ind w:left="179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(Amendment) Act, No.     of 2022.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6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0" w:right="1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94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2.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2 of the Value Added Tax Act, No.14 of 2002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2" w:after="0"/>
              <w:ind w:left="7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(hereinafter referred to as the “principal enactment”) is hereby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7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>of section 2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8" w:after="0"/>
              <w:ind w:left="7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>of Act,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as follows:-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9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" w:after="0"/>
              <w:ind w:left="7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>No.14 of</w:t>
            </w:r>
          </w:p>
        </w:tc>
      </w:tr>
    </w:tbl>
    <w:p>
      <w:pPr>
        <w:autoSpaceDN w:val="0"/>
        <w:autoSpaceDE w:val="0"/>
        <w:widowControl/>
        <w:spacing w:line="230" w:lineRule="auto" w:before="8" w:after="38"/>
        <w:ind w:left="0" w:right="1944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221F1F"/>
          <w:sz w:val="16"/>
        </w:rPr>
        <w:t>2002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64"/>
        </w:trPr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14" w:after="0"/>
              <w:ind w:left="0" w:right="2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0" w:right="1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</w:t>
            </w:r>
          </w:p>
        </w:tc>
        <w:tc>
          <w:tcPr>
            <w:tcW w:type="dxa" w:w="5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12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item (v) of sub-paragraph (v) of subsection (1) of</w:t>
            </w:r>
          </w:p>
        </w:tc>
      </w:tr>
      <w:tr>
        <w:trPr>
          <w:trHeight w:hRule="exact" w:val="2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that section by the  substitution for the words and</w:t>
            </w:r>
          </w:p>
        </w:tc>
      </w:tr>
      <w:tr>
        <w:trPr>
          <w:trHeight w:hRule="exact" w:val="27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figures “November 30, 2019; and” of the words</w:t>
            </w:r>
          </w:p>
        </w:tc>
      </w:tr>
    </w:tbl>
    <w:p>
      <w:pPr>
        <w:autoSpaceDN w:val="0"/>
        <w:autoSpaceDE w:val="0"/>
        <w:widowControl/>
        <w:spacing w:line="238" w:lineRule="auto" w:before="16" w:after="0"/>
        <w:ind w:left="0" w:right="36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and figures “November 30, 2019;”;</w:t>
      </w:r>
    </w:p>
    <w:p>
      <w:pPr>
        <w:autoSpaceDN w:val="0"/>
        <w:tabs>
          <w:tab w:pos="2052" w:val="left"/>
          <w:tab w:pos="2508" w:val="left"/>
          <w:tab w:pos="2516" w:val="left"/>
        </w:tabs>
        <w:autoSpaceDE w:val="0"/>
        <w:widowControl/>
        <w:spacing w:line="266" w:lineRule="auto" w:before="290" w:after="0"/>
        <w:ind w:left="143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item (vi) of sub-paragraph (v) of subsection (1)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that section by the substitution for the words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figures,  “commencing on or after January 1, 2020”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words and figures “commencing on or after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January 1, 2020 but ending on or before May 31,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2022;”; and</w:t>
      </w:r>
    </w:p>
    <w:p>
      <w:pPr>
        <w:autoSpaceDN w:val="0"/>
        <w:tabs>
          <w:tab w:pos="2052" w:val="left"/>
          <w:tab w:pos="2508" w:val="left"/>
          <w:tab w:pos="2516" w:val="left"/>
        </w:tabs>
        <w:autoSpaceDE w:val="0"/>
        <w:widowControl/>
        <w:spacing w:line="259" w:lineRule="auto" w:before="294" w:after="0"/>
        <w:ind w:left="143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the insertion immediately after the item (vi)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subparagraph (v) of subsection (1) of that section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the following:-</w:t>
      </w:r>
    </w:p>
    <w:p>
      <w:pPr>
        <w:autoSpaceDN w:val="0"/>
        <w:tabs>
          <w:tab w:pos="2540" w:val="left"/>
          <w:tab w:pos="3116" w:val="left"/>
        </w:tabs>
        <w:autoSpaceDE w:val="0"/>
        <w:widowControl/>
        <w:spacing w:line="266" w:lineRule="auto" w:before="294" w:after="0"/>
        <w:ind w:left="145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“(vii) for the period commencing on June 1, 2022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ending on June 30, 2022 and for any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taxable period commencing on or after July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1, 2022 but ending on August 31, 2022 at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rate of twelve </w:t>
      </w:r>
      <w:r>
        <w:rPr>
          <w:rFonts w:ascii="Times" w:hAnsi="Times" w:eastAsia="Times"/>
          <w:b w:val="0"/>
          <w:i/>
          <w:color w:val="221F1F"/>
          <w:sz w:val="20"/>
        </w:rPr>
        <w:t>per centum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(of which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tax fraction is 3/28); and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850" w:val="left"/>
        </w:tabs>
        <w:autoSpaceDE w:val="0"/>
        <w:widowControl/>
        <w:spacing w:line="235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Value Added Tax (Amendment)</w:t>
      </w:r>
    </w:p>
    <w:p>
      <w:pPr>
        <w:autoSpaceDN w:val="0"/>
        <w:tabs>
          <w:tab w:pos="2388" w:val="left"/>
          <w:tab w:pos="3022" w:val="left"/>
          <w:tab w:pos="3024" w:val="left"/>
        </w:tabs>
        <w:autoSpaceDE w:val="0"/>
        <w:widowControl/>
        <w:spacing w:line="250" w:lineRule="auto" w:before="502" w:after="194"/>
        <w:ind w:left="138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“(viii) for the period commencing on September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1, 2022 and ending on September 30, 2022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for any taxable period commencing 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after October 1, 2022 at the rate of fifteen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per centum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(of which the tax fraction is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3/23).”.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6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44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0" w:right="162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3.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10 of the principal enactment is hereby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90" w:after="0"/>
              <w:ind w:left="6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in subsection (1) of that section as follows:-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4" w:after="0"/>
              <w:ind w:left="6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>of section 10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8" w:after="0"/>
              <w:ind w:left="6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0" w:right="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</w:t>
            </w:r>
          </w:p>
        </w:tc>
        <w:tc>
          <w:tcPr>
            <w:tcW w:type="dxa" w:w="4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1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substitution in paragraph (vi), for the words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6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>principal</w:t>
            </w:r>
          </w:p>
        </w:tc>
      </w:tr>
      <w:tr>
        <w:trPr>
          <w:trHeight w:hRule="exact" w:val="16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2" w:after="0"/>
              <w:ind w:left="6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>enactment</w:t>
            </w:r>
          </w:p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figures,  “on or after January 1, 2020, carries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on” of the words and figures “on or after January 1,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6" w:after="194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2020 but on or before September 30, 2022, carries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on”;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6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2" w:after="0"/>
              <w:ind w:left="0" w:right="22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insertion immediately after paragraph (vi),</w:t>
            </w:r>
          </w:p>
        </w:tc>
      </w:tr>
      <w:tr>
        <w:trPr>
          <w:trHeight w:hRule="exact" w:val="32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the following:-</w:t>
            </w:r>
          </w:p>
        </w:tc>
      </w:tr>
    </w:tbl>
    <w:p>
      <w:pPr>
        <w:autoSpaceDN w:val="0"/>
        <w:autoSpaceDE w:val="0"/>
        <w:widowControl/>
        <w:spacing w:line="247" w:lineRule="auto" w:before="172" w:after="188"/>
        <w:ind w:left="3064" w:right="2516" w:hanging="516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“(vii) on or after October 1, 2022, carries on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carries out any taxable activity in Sri Lanka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be required to be registered under this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Act, if–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00"/>
        </w:trPr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at the end of any taxable period of one</w:t>
            </w:r>
          </w:p>
        </w:tc>
      </w:tr>
    </w:tbl>
    <w:p>
      <w:pPr>
        <w:autoSpaceDN w:val="0"/>
        <w:autoSpaceDE w:val="0"/>
        <w:widowControl/>
        <w:spacing w:line="247" w:lineRule="auto" w:before="6" w:after="8"/>
        <w:ind w:left="3384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month or three months, as the case may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be, the total value of the taxable supplies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goods or services or goods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services of such person, made in Sri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0" w:right="90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924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Lanka in that taxable period of one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month or three months, as the case may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be, is twenty million rupees or more; or</w:t>
      </w:r>
    </w:p>
    <w:p>
      <w:pPr>
        <w:autoSpaceDN w:val="0"/>
        <w:tabs>
          <w:tab w:pos="2994" w:val="left"/>
          <w:tab w:pos="3384" w:val="left"/>
        </w:tabs>
        <w:autoSpaceDE w:val="0"/>
        <w:widowControl/>
        <w:spacing w:line="250" w:lineRule="auto" w:before="254" w:after="0"/>
        <w:ind w:left="134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the twelve months period then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ending, the total value of the taxable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supplies of goods or services or goods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services of such person, made in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Sri Lanka has exceeded eighty million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rupees; or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494" w:val="left"/>
        </w:tabs>
        <w:autoSpaceDE w:val="0"/>
        <w:widowControl/>
        <w:spacing w:line="235" w:lineRule="auto" w:before="0" w:after="0"/>
        <w:ind w:left="2944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Value Added Tax (Amendment)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3</w:t>
      </w:r>
    </w:p>
    <w:p>
      <w:pPr>
        <w:autoSpaceDN w:val="0"/>
        <w:tabs>
          <w:tab w:pos="3476" w:val="left"/>
          <w:tab w:pos="3478" w:val="left"/>
        </w:tabs>
        <w:autoSpaceDE w:val="0"/>
        <w:widowControl/>
        <w:spacing w:line="247" w:lineRule="auto" w:before="494" w:after="8"/>
        <w:ind w:left="310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at any time, there are reasonable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grounds to believe that the total value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taxable supplies of goods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services or goods and services of such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78"/>
        </w:trPr>
        <w:tc>
          <w:tcPr>
            <w:tcW w:type="dxa" w:w="1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0" w:right="9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95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person, made in Sri Lanka, in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succeeding one month or three months</w:t>
            </w:r>
          </w:p>
        </w:tc>
      </w:tr>
    </w:tbl>
    <w:p>
      <w:pPr>
        <w:autoSpaceDN w:val="0"/>
        <w:tabs>
          <w:tab w:pos="3478" w:val="left"/>
        </w:tabs>
        <w:autoSpaceDE w:val="0"/>
        <w:widowControl/>
        <w:spacing w:line="247" w:lineRule="auto" w:before="8" w:after="194"/>
        <w:ind w:left="143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taxable period, as the case may be, is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likely to exceed twenty million rupees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in the succeeding twelve months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period is likely to exceed eighty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million rupees.”.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7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34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170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4.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First Schedule to the principal enactment is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16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hereby amended in Part II thereof as follows:-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 First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Schedule to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0" w:right="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</w:t>
            </w:r>
          </w:p>
        </w:tc>
        <w:tc>
          <w:tcPr>
            <w:tcW w:type="dxa" w:w="4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1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substitution in sub-item 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of item (xi) of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principal</w:t>
            </w:r>
          </w:p>
        </w:tc>
      </w:tr>
      <w:tr>
        <w:trPr>
          <w:trHeight w:hRule="exact" w:val="16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8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paragraph 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of that PART, by the substitution for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8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words and figures “if such supply has taken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8" w:after="6"/>
        <w:ind w:left="2448" w:right="2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place on or after December 1, 2019, by any person,”,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of the words and figures “if such supply has taken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28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4" w:after="0"/>
              <w:ind w:left="0" w:right="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8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place on or after December 1, 2019, but on or before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September 30, 2022, by any person,”; and</w:t>
            </w:r>
          </w:p>
        </w:tc>
      </w:tr>
      <w:tr>
        <w:trPr>
          <w:trHeight w:hRule="exact" w:val="37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addition immediately after sub-item 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of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0" w:right="291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item (xi) of paragraph 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>), of the following:-</w:t>
      </w:r>
    </w:p>
    <w:p>
      <w:pPr>
        <w:autoSpaceDN w:val="0"/>
        <w:autoSpaceDE w:val="0"/>
        <w:widowControl/>
        <w:spacing w:line="235" w:lineRule="auto" w:before="254" w:after="6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“(</w:t>
      </w:r>
      <w:r>
        <w:rPr>
          <w:rFonts w:ascii="Times" w:hAnsi="Times" w:eastAsia="Times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>) if such supply has taken place on or after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902"/>
        <w:gridCol w:w="902"/>
        <w:gridCol w:w="902"/>
        <w:gridCol w:w="902"/>
        <w:gridCol w:w="902"/>
        <w:gridCol w:w="902"/>
        <w:gridCol w:w="902"/>
        <w:gridCol w:w="902"/>
        <w:gridCol w:w="902"/>
        <w:gridCol w:w="902"/>
      </w:tblGrid>
      <w:tr>
        <w:trPr>
          <w:trHeight w:hRule="exact" w:val="228"/>
        </w:trPr>
        <w:tc>
          <w:tcPr>
            <w:tcW w:type="dxa" w:w="1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2" w:after="0"/>
              <w:ind w:left="0" w:right="6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500"/>
            <w:gridSpan w:val="9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6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October 1, 2022, by any person, other than</w:t>
            </w:r>
          </w:p>
        </w:tc>
      </w:tr>
      <w:tr>
        <w:trPr>
          <w:trHeight w:hRule="exact" w:val="240"/>
        </w:trPr>
        <w:tc>
          <w:tcPr>
            <w:tcW w:type="dxa" w:w="902"/>
            <w:vMerge/>
            <w:tcBorders/>
          </w:tcPr>
          <w:p/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any 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lease </w:t>
            </w:r>
          </w:p>
        </w:tc>
        <w:tc>
          <w:tcPr>
            <w:tcW w:type="dxa" w:w="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or </w:t>
            </w:r>
          </w:p>
        </w:tc>
        <w:tc>
          <w:tcPr>
            <w:tcW w:type="dxa" w:w="5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rent </w:t>
            </w:r>
          </w:p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of </w:t>
            </w:r>
          </w:p>
        </w:tc>
        <w:tc>
          <w:tcPr>
            <w:tcW w:type="dxa" w:w="22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8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residential</w:t>
            </w:r>
          </w:p>
        </w:tc>
      </w:tr>
      <w:tr>
        <w:trPr>
          <w:trHeight w:hRule="exact" w:val="252"/>
        </w:trPr>
        <w:tc>
          <w:tcPr>
            <w:tcW w:type="dxa" w:w="902"/>
            <w:vMerge/>
            <w:tcBorders/>
          </w:tcPr>
          <w:p/>
        </w:tc>
        <w:tc>
          <w:tcPr>
            <w:tcW w:type="dxa" w:w="2262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accommodation </w:t>
            </w:r>
          </w:p>
        </w:tc>
        <w:tc>
          <w:tcPr>
            <w:tcW w:type="dxa" w:w="47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or </w:t>
            </w:r>
          </w:p>
        </w:tc>
        <w:tc>
          <w:tcPr>
            <w:tcW w:type="dxa" w:w="7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supply </w:t>
            </w:r>
          </w:p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of 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</w:t>
            </w:r>
          </w:p>
        </w:tc>
      </w:tr>
    </w:tbl>
    <w:p>
      <w:pPr>
        <w:autoSpaceDN w:val="0"/>
        <w:autoSpaceDE w:val="0"/>
        <w:widowControl/>
        <w:spacing w:line="235" w:lineRule="auto" w:before="8" w:after="194"/>
        <w:ind w:left="0" w:right="242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condominium residential accommodation.”.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3007"/>
        <w:gridCol w:w="3007"/>
        <w:gridCol w:w="3007"/>
      </w:tblGrid>
      <w:tr>
        <w:trPr>
          <w:trHeight w:hRule="exact" w:val="300"/>
        </w:trPr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94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5.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the event of any inconsistency between the Sinhala</w:t>
            </w:r>
          </w:p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88" w:after="0"/>
              <w:ind w:left="7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Sinhala text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to prevail in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case of</w:t>
            </w:r>
          </w:p>
        </w:tc>
      </w:tr>
      <w:tr>
        <w:trPr>
          <w:trHeight w:hRule="exact" w:val="360"/>
        </w:trPr>
        <w:tc>
          <w:tcPr>
            <w:tcW w:type="dxa" w:w="57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9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Tamil texts of this Act, the Sinhala text shall prevail.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4" w:after="0"/>
        <w:ind w:left="0" w:right="135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inconsistency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96"/>
        <w:ind w:left="0" w:right="0"/>
      </w:pPr>
    </w:p>
    <w:p>
      <w:pPr>
        <w:autoSpaceDN w:val="0"/>
        <w:autoSpaceDE w:val="0"/>
        <w:widowControl/>
        <w:spacing w:line="12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33.9999999999998" w:type="dxa"/>
      </w:tblPr>
      <w:tblGrid>
        <w:gridCol w:w="4510"/>
        <w:gridCol w:w="4510"/>
      </w:tblGrid>
      <w:tr>
        <w:trPr>
          <w:trHeight w:hRule="exact" w:val="9632"/>
        </w:trPr>
        <w:tc>
          <w:tcPr>
            <w:tcW w:type="dxa" w:w="986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5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4</w:t>
            </w:r>
          </w:p>
        </w:tc>
        <w:tc>
          <w:tcPr>
            <w:tcW w:type="dxa" w:w="5264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53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Value Added Tax (Amendment)</w:t>
            </w:r>
          </w:p>
        </w:tc>
      </w:tr>
    </w:tbl>
    <w:p>
      <w:pPr>
        <w:autoSpaceDN w:val="0"/>
        <w:autoSpaceDE w:val="0"/>
        <w:widowControl/>
        <w:spacing w:line="238" w:lineRule="auto" w:before="28" w:after="0"/>
        <w:ind w:left="0" w:right="3478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