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3556" w:val="left"/>
        </w:tabs>
        <w:autoSpaceDE w:val="0"/>
        <w:widowControl/>
        <w:spacing w:line="245" w:lineRule="auto" w:before="344" w:after="0"/>
        <w:ind w:left="2324" w:right="216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KANDYAN MARRIAGE AND DIVORCE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17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52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504" w:after="0"/>
        <w:ind w:left="170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 amend the Kandyan Marriage and Divorce Act (Chapter 113)</w:t>
      </w:r>
    </w:p>
    <w:p>
      <w:pPr>
        <w:autoSpaceDN w:val="0"/>
        <w:autoSpaceDE w:val="0"/>
        <w:widowControl/>
        <w:spacing w:line="235" w:lineRule="auto" w:before="39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41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03rd of October, 2022</w:t>
      </w:r>
    </w:p>
    <w:p>
      <w:pPr>
        <w:autoSpaceDN w:val="0"/>
        <w:autoSpaceDE w:val="0"/>
        <w:widowControl/>
        <w:spacing w:line="238" w:lineRule="auto" w:before="252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07, 2022)</w:t>
      </w:r>
    </w:p>
    <w:p>
      <w:pPr>
        <w:autoSpaceDN w:val="0"/>
        <w:autoSpaceDE w:val="0"/>
        <w:widowControl/>
        <w:spacing w:line="252" w:lineRule="auto" w:before="252" w:after="0"/>
        <w:ind w:left="2880" w:right="302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13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86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Part II of the Kandyan Marriage and Divorce 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113) (hereinafter referred to as the “principal enactment”)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thereof is to eliminate the requirement of consent of a competent authority for a marriage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 minor and thereby making the age of eighteen years as the minimum age of marriage </w:t>
      </w:r>
      <w:r>
        <w:rPr>
          <w:rFonts w:ascii="Times" w:hAnsi="Times" w:eastAsia="Times"/>
          <w:b w:val="0"/>
          <w:i w:val="0"/>
          <w:color w:val="000000"/>
          <w:sz w:val="16"/>
        </w:rPr>
        <w:t>for all persons subject to Kandyan Law.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16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18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section 60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autoSpaceDE w:val="0"/>
        <w:widowControl/>
        <w:spacing w:line="247" w:lineRule="auto" w:before="202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66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this section as amended is to remove the definition of the expression “minor” consequent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Kandyan Marriage and Divorce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73/2021</w:t>
      </w:r>
    </w:p>
    <w:p>
      <w:pPr>
        <w:autoSpaceDN w:val="0"/>
        <w:autoSpaceDE w:val="0"/>
        <w:widowControl/>
        <w:spacing w:line="245" w:lineRule="auto" w:before="230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ANDYAN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113)</w:t>
      </w:r>
    </w:p>
    <w:p>
      <w:pPr>
        <w:autoSpaceDN w:val="0"/>
        <w:autoSpaceDE w:val="0"/>
        <w:widowControl/>
        <w:spacing w:line="245" w:lineRule="auto" w:before="230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Kandyan Marriage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Divorce (Amendment) Act, No.    of 2022.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 (sections 8, 9, 10, 11, 12, 13, 14 and 15)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Kandyan Marriage and Divorce Act (Chapter 113)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II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113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repealed.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(6)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paragraph (7) thereof–</w:t>
      </w:r>
    </w:p>
    <w:p>
      <w:pPr>
        <w:autoSpaceDN w:val="0"/>
        <w:autoSpaceDE w:val="0"/>
        <w:widowControl/>
        <w:spacing w:line="235" w:lineRule="auto" w:before="23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for the word “correct;”,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“correct; and”;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31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sub-parapraph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for the word “marriage;”, of the word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“marriage.”;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repeal of sub-parapraphs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paragraph (5)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paragraph:-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party to the marriage who desires to obtain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marriage notice certificate from a District Registrar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Kandyan Marriage and Divorce</w:t>
      </w:r>
    </w:p>
    <w:p>
      <w:pPr>
        <w:autoSpaceDN w:val="0"/>
        <w:autoSpaceDE w:val="0"/>
        <w:widowControl/>
        <w:spacing w:line="235" w:lineRule="auto" w:before="14" w:after="182"/>
        <w:ind w:left="0" w:right="43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expiry of the period referred to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(3)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(i) or paragraph 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(i)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(ii) of this section shall appear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before that Registrar and make and subscribe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declaration to the effect that there is no lawful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impediment or other lawful hindrance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shall be accompanied by a receipt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by the District Registrar in proof of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prescribed fee which shall be made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making the declaration.”.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“marriage;”, of the words “marriage; and 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thereof;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re-lettering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as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subsection:–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Any person, being a person who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interested in a Kandyan marriage may object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writing, to the issue of a marriage notice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thereof.”;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sub-paragraph (ii)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 thereof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of the following sub-paragraph:–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“(ii) whether the objector makes the objection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capacity as a person who is interested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marriage; and”.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64" w:val="left"/>
          <w:tab w:pos="6494" w:val="left"/>
        </w:tabs>
        <w:autoSpaceDE w:val="0"/>
        <w:widowControl/>
        <w:spacing w:line="245" w:lineRule="auto" w:before="0" w:after="194"/>
        <w:ind w:left="28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Kandyan Marriage and Divorce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(1) thereof–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6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thereof, for the words “so specified;”,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“so specified; and”;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p>
      <w:pPr>
        <w:autoSpaceDN w:val="0"/>
        <w:tabs>
          <w:tab w:pos="2978" w:val="left"/>
        </w:tabs>
        <w:autoSpaceDE w:val="0"/>
        <w:widowControl/>
        <w:spacing w:line="245" w:lineRule="auto" w:before="254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re-lettering of sub-paragraph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as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p>
      <w:pPr>
        <w:autoSpaceDN w:val="0"/>
        <w:tabs>
          <w:tab w:pos="2092" w:val="left"/>
        </w:tabs>
        <w:autoSpaceDE w:val="0"/>
        <w:widowControl/>
        <w:spacing w:line="247" w:lineRule="auto" w:before="244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in paragraph (2) thereof–</w:t>
      </w:r>
    </w:p>
    <w:p>
      <w:pPr>
        <w:autoSpaceDN w:val="0"/>
        <w:autoSpaceDE w:val="0"/>
        <w:widowControl/>
        <w:spacing w:line="245" w:lineRule="auto" w:before="254" w:after="0"/>
        <w:ind w:left="2978" w:right="2424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for the words “so specified;”,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“so specified; and”;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p>
      <w:pPr>
        <w:autoSpaceDN w:val="0"/>
        <w:tabs>
          <w:tab w:pos="2666" w:val="left"/>
          <w:tab w:pos="2978" w:val="left"/>
        </w:tabs>
        <w:autoSpaceDE w:val="0"/>
        <w:widowControl/>
        <w:spacing w:line="245" w:lineRule="auto" w:before="254" w:after="194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re-lettering of sub-paragraph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as sub-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60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9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“False</w:t>
            </w:r>
          </w:p>
        </w:tc>
        <w:tc>
          <w:tcPr>
            <w:tcW w:type="dxa" w:w="39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who, for the purpose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92"/>
        </w:trPr>
        <w:tc>
          <w:tcPr>
            <w:tcW w:type="dxa" w:w="1503"/>
            <w:vMerge/>
            <w:tcBorders/>
          </w:tcPr>
          <w:p/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procuring the solemnization or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Kandyan marriage knowingly or wilfully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and subscribes any false declaration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signs any false notice, under this Act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guilty of an offence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 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66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“minor”.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0" w:val="left"/>
          <w:tab w:pos="3570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Kandyan Marriage and Divorce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avoidance of doubt, it is hereby declared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37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that-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not apply to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doult</w:t>
            </w:r>
          </w:p>
        </w:tc>
      </w:tr>
      <w:tr>
        <w:trPr>
          <w:trHeight w:hRule="exact" w:val="36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Kandyan marriage contracted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subsections (2) and (3) of section</w:t>
            </w:r>
          </w:p>
        </w:tc>
      </w:tr>
    </w:tbl>
    <w:p>
      <w:pPr>
        <w:autoSpaceDN w:val="0"/>
        <w:tabs>
          <w:tab w:pos="2404" w:val="left"/>
        </w:tabs>
        <w:autoSpaceDE w:val="0"/>
        <w:widowControl/>
        <w:spacing w:line="247" w:lineRule="auto" w:before="8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 of the principal enactment shall not apply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Kandyan marriage contracted on or after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save as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section 112 of the Evidence 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6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Kandyan Marriage and Divorce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0"/>
        <w:ind w:left="0" w:right="429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9026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