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07,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13.10.2022)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304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INSTITUTE OF DRAFTING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TECHNOLOGISTS 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12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6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48" w:after="0"/>
        <w:ind w:left="18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Institute of Drafting Technologists Sri Lanka</w:t>
      </w:r>
    </w:p>
    <w:p>
      <w:pPr>
        <w:autoSpaceDN w:val="0"/>
        <w:autoSpaceDE w:val="0"/>
        <w:widowControl/>
        <w:spacing w:line="245" w:lineRule="auto" w:before="276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Gamini Waleboda,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Ratnapura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Drafting Technologists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45" w:lineRule="auto" w:before="248" w:after="0"/>
        <w:ind w:left="2016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RAFTING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ECHNOLOGISTS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Institute called and known as the “Institute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Drafting Technologists Sri Lanka” has heretofore been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 for the purpose of administration, control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maintenance of the vocational standards and discipline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Institute and generally for effectually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its objects and transacting all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Institute according to the rules agreed to by its </w:t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the said Institute has heretofore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it therefore enacted by the Parliament of the Democratic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This Act may be cited as the Institute of Drafting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17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Technologists Sri Lanka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the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Drafting Technologists Sri Lanka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Drafting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“Institute”)  or shall hereafter be admitted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Technologists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Institute of Drafting Technologists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hereby constituted and incorporated, (so long as they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 to be members) shall be members of and become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corporate, with perpetual succession under the name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 the  “Institute of Drafting Technologists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(hereinafter referred to as “Body Corporate”) and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name may sue and be sued  in  all  courts  and  in  all </w:t>
      </w:r>
      <w:r>
        <w:rPr>
          <w:rFonts w:ascii="Times" w:hAnsi="Times" w:eastAsia="Times"/>
          <w:b w:val="0"/>
          <w:i w:val="0"/>
          <w:color w:val="221F1F"/>
          <w:sz w:val="20"/>
        </w:rPr>
        <w:t>manner  of  actions  and  suits. The Body Corporate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full power and authority to have and use such seal,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alter, break and renew the same from time to time at its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discretion, and shall have power to do all other acts and </w:t>
      </w:r>
      <w:r>
        <w:rPr>
          <w:rFonts w:ascii="Times" w:hAnsi="Times" w:eastAsia="Times"/>
          <w:b w:val="0"/>
          <w:i w:val="0"/>
          <w:color w:val="221F1F"/>
          <w:sz w:val="20"/>
        </w:rPr>
        <w:t>things incidental to or appertaining to a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196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5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general objectives for which the Body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is constituted are hereby declared to be 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(a)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foster the advancement of Drafting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 including</w:t>
            </w:r>
            <w:r>
              <w:rPr>
                <w:rFonts w:ascii="Times" w:hAnsi="Times" w:eastAsia="Times"/>
                <w:b w:val="0"/>
                <w:i w:val="0"/>
                <w:strike/>
                <w:color w:val="221F1F"/>
                <w:sz w:val="20"/>
              </w:rPr>
              <w:t xml:space="preserve">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techniques and skills thereof;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Tertiary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8" w:after="1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Vocational Education Act (No. 20 of 1990),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(hereinafter referred to as the “TVEC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Act”), to secure uniformity in the vocation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Drafting Technology, and modify, supervise, advise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control the Drafting Technology education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 consultation with the Tertiary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Vocational Education Commission established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TVEC Act (hereinafter referred to as “the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TVEC”);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TVEC Act conduct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promote courses in Drafting Technology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Body Corporate shall not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exceed any authority given to it by the TVEC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such courses accredited by the TVEC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pertaining to Drafting Technology;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204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the study of such branches of law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or relevant to the vocation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 of Drafting 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(e)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acquisition, dissemination and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of knowledge relating to or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Drafting Technology including</w:t>
      </w:r>
      <w:r>
        <w:rPr>
          <w:rFonts w:ascii="Times" w:hAnsi="Times" w:eastAsia="Times"/>
          <w:b w:val="0"/>
          <w:i w:val="0"/>
          <w:strike/>
          <w:color w:val="221F1F"/>
          <w:sz w:val="20"/>
        </w:rPr>
        <w:t xml:space="preserve">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techniques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skills thereof by the following but not limited to:-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a forum for the presentation of papers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holding discussion thereon;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Establishing and maintaining libraries;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38" w:val="left"/>
          <w:tab w:pos="6782" w:val="left"/>
        </w:tabs>
        <w:autoSpaceDE w:val="0"/>
        <w:widowControl/>
        <w:spacing w:line="245" w:lineRule="auto" w:before="0" w:after="0"/>
        <w:ind w:left="30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3166" w:val="left"/>
        </w:tabs>
        <w:autoSpaceDE w:val="0"/>
        <w:widowControl/>
        <w:spacing w:line="245" w:lineRule="auto" w:before="254" w:after="0"/>
        <w:ind w:left="26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Publishing matters of interest to Drafting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Technologists and/or the Public benefit;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4" w:after="6"/>
        <w:ind w:left="24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Schedule B of the Act and read with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prescribed under Section 6, to conduct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4654"/>
        <w:gridCol w:w="4654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for the conduct of, an admission test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enrolment of new members to the Body Corporate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engage and remunerate resource persons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examiners;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(g)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TVEC 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award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(h)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and other distinctions to persons, who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pursued courses of study provided by the Body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with the accreditation of TVEC;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exhibitions and award medals and/or other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prizes for the members of the Body Corporate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outstanding performance and/or achievements;</w:t>
            </w:r>
          </w:p>
        </w:tc>
      </w:tr>
      <w:tr>
        <w:trPr>
          <w:trHeight w:hRule="exact" w:val="37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the various grades of membership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04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and assess the eligibility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candidates for admission to such grades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membership of the Body Corporate in terms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(j)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prescribed for either under section 6;</w:t>
            </w:r>
          </w:p>
        </w:tc>
      </w:tr>
      <w:tr>
        <w:trPr>
          <w:trHeight w:hRule="exact" w:val="37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general conduct, discipline and the</w:t>
            </w:r>
          </w:p>
        </w:tc>
      </w:tr>
    </w:tbl>
    <w:p>
      <w:pPr>
        <w:autoSpaceDN w:val="0"/>
        <w:tabs>
          <w:tab w:pos="2804" w:val="left"/>
        </w:tabs>
        <w:autoSpaceDE w:val="0"/>
        <w:widowControl/>
        <w:spacing w:line="247" w:lineRule="auto" w:before="8" w:after="194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vocational activities of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practicing as Drafting Technologists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ensure the maintenance of standards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 provided that such standards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standards as maybe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(if any) by the Construction Industry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(hereinafter referred to as “the CIDA”;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(k)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promote and safeguard the interest,  welfare,</w:t>
            </w:r>
          </w:p>
        </w:tc>
      </w:tr>
      <w:tr>
        <w:trPr>
          <w:trHeight w:hRule="exact" w:val="24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and privileges of  members of the Body</w:t>
            </w:r>
          </w:p>
        </w:tc>
      </w:tr>
      <w:tr>
        <w:trPr>
          <w:trHeight w:hRule="exact" w:val="25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practicing as Drafting Technologists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of the general public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vocation of Drafting Technology;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(l)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co-operation with organizations in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 relating to Drafting Technology;</w:t>
      </w:r>
    </w:p>
    <w:p>
      <w:pPr>
        <w:autoSpaceDN w:val="0"/>
        <w:tabs>
          <w:tab w:pos="1988" w:val="left"/>
          <w:tab w:pos="2422" w:val="left"/>
        </w:tabs>
        <w:autoSpaceDE w:val="0"/>
        <w:widowControl/>
        <w:spacing w:line="252" w:lineRule="auto" w:before="264" w:after="0"/>
        <w:ind w:left="141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communicate with any third party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and its Agencies, and represent the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membership on matters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Vocation of Drafting Technology;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6" w:after="206"/>
        <w:ind w:left="135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decide and/or to determine disputes arising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violation of any rules prescribed under section 6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pertaining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conduct, discipline and the vocational activities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Body Corporate and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action in terms of the said 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(o)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such other measures, including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and maintenance of data banks as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for the benefit or advancement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who practice as Drafting Technologists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and abroad;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(p)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 a scheme of assessment for and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(q)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of continuous professional development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programmes for members;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incidental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conducive to the attainment of the above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of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   furtherance of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 the Body Corporate  or  any  one  of  them,  including  the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power:—</w:t>
      </w:r>
    </w:p>
    <w:p>
      <w:pPr>
        <w:autoSpaceDN w:val="0"/>
        <w:tabs>
          <w:tab w:pos="2442" w:val="left"/>
        </w:tabs>
        <w:autoSpaceDE w:val="0"/>
        <w:widowControl/>
        <w:spacing w:line="238" w:lineRule="auto" w:before="238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open, operate and close bank 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494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54" w:after="18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money with or without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receive or collect grants and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(c)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funds of the Body Corporate which are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immediately required for the purpose of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in such manner as the Body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Corporate may deem fit;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42" w:after="2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acquire by purchase, gift, bequest, exchange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manner and hold any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  property and to take or give on lease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mortgage, sell, grant, exchange or otherwise dispose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deal with any such property acquired or held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as it may deem expedient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(e)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accept, endorse, negotiate, buy, sell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bills of exchange, cheques, promissory notes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other negotiable instruments;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40" w:after="2"/>
        <w:ind w:left="21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construct, purchase, maintain and repair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required for the purpose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(g)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 and dismiss the employees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 the carrying out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and pay them such remuneration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determined by the  Body Corporate 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ex gratia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payments, gratuity to officers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of the Body Corporate upon their retirement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the widows and orphans of such officers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(h)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and perform or carry out, whether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through any officer or agent authorised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 Body Corporate, all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256" w:after="182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charge fees, subscriptions and contributions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admission of persons to any grade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the Body Corporate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renewal of such membership;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(j)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charge fees, subscriptions and contributions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courses conducted by the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are accredited by TVEC;</w:t>
      </w:r>
    </w:p>
    <w:p>
      <w:pPr>
        <w:autoSpaceDN w:val="0"/>
        <w:tabs>
          <w:tab w:pos="2034" w:val="left"/>
          <w:tab w:pos="2422" w:val="left"/>
          <w:tab w:pos="2442" w:val="left"/>
        </w:tabs>
        <w:autoSpaceDE w:val="0"/>
        <w:widowControl/>
        <w:spacing w:line="245" w:lineRule="auto" w:before="242" w:after="0"/>
        <w:ind w:left="1354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any sub- committees, consultative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or any other committee as and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carry out any functions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as may be determined by the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242" w:after="4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(l)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disciplinary action against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for violation of any rules prescribed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6 pertaining to the general conduct,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discipline and the vocational activities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 of the Body Corporate;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242" w:after="4"/>
        <w:ind w:left="1988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collaborate with, assist, receive assistance from,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develop links with, other persons, agencies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(n)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in Sri Lanka or abroad, having objects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to those of the Body Corporate;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journals, monographs, books and other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material for disseminating information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(o)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relating to or connected with the science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Drafting Technology;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utilise the moneys of the Body Corporate to meet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expenditure incurred in carrying out its objects,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remunerating its employees and in the exercise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its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(p)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to do all such acts and things authorized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this Act and Rules made thereunder for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494" w:val="left"/>
        </w:tabs>
        <w:autoSpaceDE w:val="0"/>
        <w:widowControl/>
        <w:spacing w:line="245" w:lineRule="auto" w:before="0" w:after="184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management, control and administration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shall, subject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the rules of the Body Corporate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6 of this Act, be administered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Committee.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(a)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Body Corporate consist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members, Non-Corporate members and Affiliate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grading of members of the Body Corporate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as specified in Schedule A hereto, and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to, replaced or repealed in terms of any rules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(c)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qualifications of members to be admitted into </w:t>
      </w:r>
      <w:r>
        <w:rPr>
          <w:rFonts w:ascii="Times" w:hAnsi="Times" w:eastAsia="Times"/>
          <w:b w:val="0"/>
          <w:i w:val="0"/>
          <w:color w:val="221F1F"/>
          <w:sz w:val="20"/>
        </w:rPr>
        <w:t>any of the grades of the Body Corporate shall be as specified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Schedule B hereto, and may be amended, added to,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replaced or repealed in terms of any rules prescribed under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(d)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persons who were members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 the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and who have obtained a National Vocational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pertaining to the vocation of Drafting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as prescribed in Schedule B hereto,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deemed for all purposes to be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or Non-Corporate members of the same grade,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of the Body Corporate, and shall continue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to be, subject to the provisions of this Act and any rules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under section 6.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persons who were members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 the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but who have not obtained a National Vocational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pertaining to the vocation of Drafting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as prescribed in Schedule B hereto,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deemed for all purposes to be Affiliate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 grade, as the case may be, of the Body Corporate,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continue so to be, subject to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any rules prescribed under section 6.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45" w:lineRule="auto" w:before="248" w:after="4"/>
        <w:ind w:left="1702" w:right="251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(f)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Affiliate members of the Body Corporate who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National Vocational Qualification as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in Schedule B hereto any time after the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shall on application be re-registered as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Non-Corporate members, as the case may be.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(a)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office bearers shall be elected from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Affiliate members (excluding Affiliate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 members and Affiliate Probationer members)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maintained the membership and have been part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Committee for the past two years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the election of the Executive Committee.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nominations received for posts of the office </w:t>
      </w:r>
      <w:r>
        <w:rPr>
          <w:rFonts w:ascii="Times" w:hAnsi="Times" w:eastAsia="Times"/>
          <w:b w:val="0"/>
          <w:i w:val="0"/>
          <w:color w:val="221F1F"/>
          <w:sz w:val="20"/>
        </w:rPr>
        <w:t>bearers of the Executive Committee shall be proposed 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annual general meeting by a sub- committee appointed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 Committee provided that no office bearer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Executive Committee of the Body Corporate shall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more than three (03) years during any one (01) </w:t>
      </w:r>
      <w:r>
        <w:rPr>
          <w:rFonts w:ascii="Times" w:hAnsi="Times" w:eastAsia="Times"/>
          <w:b w:val="0"/>
          <w:i w:val="0"/>
          <w:color w:val="221F1F"/>
          <w:sz w:val="20"/>
        </w:rPr>
        <w:t>term.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(c)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Executive Committee shall consist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members provided that the Executive Committee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consist of members not less than thirteen and not more </w:t>
      </w:r>
      <w:r>
        <w:rPr>
          <w:rFonts w:ascii="Times" w:hAnsi="Times" w:eastAsia="Times"/>
          <w:b w:val="0"/>
          <w:i w:val="0"/>
          <w:color w:val="221F1F"/>
          <w:sz w:val="20"/>
        </w:rPr>
        <w:t>than twenty seven:-</w:t>
      </w:r>
    </w:p>
    <w:p>
      <w:pPr>
        <w:autoSpaceDN w:val="0"/>
        <w:tabs>
          <w:tab w:pos="2062" w:val="left"/>
          <w:tab w:pos="2422" w:val="left"/>
          <w:tab w:pos="2442" w:val="left"/>
        </w:tabs>
        <w:autoSpaceDE w:val="0"/>
        <w:widowControl/>
        <w:spacing w:line="245" w:lineRule="auto" w:before="240" w:after="18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Honorary President, three Honorary Vice-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Presidents, Honorary General Secretary, Honorary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Secretary, Honorary Treasurer,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Honorary Assistant Treasurer, all of whom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bearers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past Presidents;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members of the Executive Committee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be elected from among 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Affiliate members (excluding Affiliate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 members and Affiliate Probationer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members) in a manner prescribed by rules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494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052" w:val="left"/>
          <w:tab w:pos="2518" w:val="left"/>
          <w:tab w:pos="2536" w:val="left"/>
        </w:tabs>
        <w:autoSpaceDE w:val="0"/>
        <w:widowControl/>
        <w:spacing w:line="245" w:lineRule="auto" w:before="254" w:after="0"/>
        <w:ind w:left="153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as observers without voting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Executive Committee who shall be elected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each of the following grades of Non-Corporate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namely Associate members, Probationer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and Student members.</w:t>
      </w:r>
    </w:p>
    <w:p>
      <w:pPr>
        <w:autoSpaceDN w:val="0"/>
        <w:autoSpaceDE w:val="0"/>
        <w:widowControl/>
        <w:spacing w:line="245" w:lineRule="auto" w:before="230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Executive Committee of the Institute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of the Body Corporate until the first Executive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is elected in the manner provided for by rules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6.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6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Executive Committee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elected within one year of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 from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 at any general meeting of the Body Corporate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the majority of not less than two third of the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Affiliate members (excluding Affiliate </w:t>
      </w:r>
      <w:r>
        <w:rPr>
          <w:rFonts w:ascii="Times" w:hAnsi="Times" w:eastAsia="Times"/>
          <w:b w:val="0"/>
          <w:i w:val="0"/>
          <w:color w:val="221F1F"/>
          <w:sz w:val="20"/>
        </w:rPr>
        <w:t>Associate members and Affiliate Probationer members)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present and voting to make rules not inconsistent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any other written law for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matters:-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grading of the membership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members;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office bearers, the resignation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or vacation of or removal from office of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members of the Executive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(d)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and its powers, conduct and duties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of office of members;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9" w:lineRule="auto" w:before="260" w:after="0"/>
        <w:ind w:left="141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the annual general meeting,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meetings, special general meetings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Executive Committee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the time, place, notice and agenda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meetings. The quorum and the conduct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thereat;</w:t>
      </w:r>
    </w:p>
    <w:p>
      <w:pPr>
        <w:autoSpaceDN w:val="0"/>
        <w:tabs>
          <w:tab w:pos="2422" w:val="left"/>
          <w:tab w:pos="2502" w:val="left"/>
        </w:tabs>
        <w:autoSpaceDE w:val="0"/>
        <w:widowControl/>
        <w:spacing w:line="250" w:lineRule="auto" w:before="276" w:after="12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Executive Committee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(g)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Corporate, the custody of its funds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(h)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standards relating to the general conduct,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discipline and the vocational activities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 of the Body Corporate;</w:t>
      </w:r>
    </w:p>
    <w:p>
      <w:pPr>
        <w:autoSpaceDN w:val="0"/>
        <w:tabs>
          <w:tab w:pos="2062" w:val="left"/>
          <w:tab w:pos="2422" w:val="left"/>
          <w:tab w:pos="2482" w:val="left"/>
        </w:tabs>
        <w:autoSpaceDE w:val="0"/>
        <w:widowControl/>
        <w:spacing w:line="262" w:lineRule="auto" w:before="276" w:after="0"/>
        <w:ind w:left="1352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of disciplinary inquiries,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complaints, the appointment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Committees and the provision of 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thereto, the framing of charges,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furnishing of explanations in reply, the issue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notices, the rights of parties to legal representations,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of evidence applicable thereto,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record of the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thereat, and the form and content of the reports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Committees;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9" w:lineRule="auto" w:before="276" w:after="0"/>
        <w:ind w:left="134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conducting and promotion of courses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Drafting Technology provided that the rules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always be subject to the authority given to it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TVEC to conduct such courses accredited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TVEC pertaining to Drafting Technology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the TVEC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392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2"/>
        <w:ind w:left="21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other matters hereinbefore specifically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as maybe necessary for carrying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or generally 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of the affairs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 and exercise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its powers.</w:t>
      </w:r>
    </w:p>
    <w:p>
      <w:pPr>
        <w:autoSpaceDN w:val="0"/>
        <w:autoSpaceDE w:val="0"/>
        <w:widowControl/>
        <w:spacing w:line="245" w:lineRule="auto" w:before="240" w:after="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to the election of the first Executive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under Section 5(5)(b),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of the Institute that holds office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make rules under Section 6 of the Act provided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during this limited interim period, the rules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force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shall, in so far as they are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law, be deemed to be rules made under this section.</w:t>
      </w:r>
    </w:p>
    <w:p>
      <w:pPr>
        <w:autoSpaceDN w:val="0"/>
        <w:autoSpaceDE w:val="0"/>
        <w:widowControl/>
        <w:spacing w:line="245" w:lineRule="auto" w:before="24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rule made may be amended, altered, added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in the like manner as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32" w:after="18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be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for the time being of the Body Corporate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acquire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property both movable and immovable, which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gift,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 all such property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  Body Corporate for 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subject to the rules of the Body Corporate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6, with full power to sell, mortgage, lease,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exchange, deal with or otherwise dispose of the same 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monies heretofore received or hereafter received by way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gifts, testamentary dispositions, grants, donations,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contributions or fees on  behalf of the Body Corporate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deposited to the credit of the fund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one or more banks as the Executive Committee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provided that any foreign grants or awards to be </w:t>
      </w:r>
      <w:r>
        <w:rPr>
          <w:rFonts w:ascii="Times" w:hAnsi="Times" w:eastAsia="Times"/>
          <w:b w:val="0"/>
          <w:i w:val="0"/>
          <w:color w:val="221F1F"/>
          <w:sz w:val="20"/>
        </w:rPr>
        <w:t>received to the fund shall be channelled and deposited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credit of the fund of the Body Corporate through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External Resources Department of the General Treasury 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may establish a depreciation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a sinking fund for the purpose of rehabilitation, </w:t>
      </w:r>
      <w:r>
        <w:rPr>
          <w:rFonts w:ascii="Times" w:hAnsi="Times" w:eastAsia="Times"/>
          <w:b w:val="0"/>
          <w:i w:val="0"/>
          <w:color w:val="221F1F"/>
          <w:sz w:val="20"/>
        </w:rPr>
        <w:t>development or improvement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all sums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to defray any expenditure incurred by the Body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(4) The financial year of the Body Corporate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  <w:r>
              <w:rPr>
                <w:w w:val="96.66666984558105"/>
                <w:rFonts w:ascii="Times" w:hAnsi="Times" w:eastAsia="Times"/>
                <w:b w:val="0"/>
                <w:i w:val="0"/>
                <w:color w:val="221F1F"/>
                <w:sz w:val="12"/>
              </w:rPr>
              <w:t>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April to 31</w:t>
            </w:r>
            <w:r>
              <w:rPr>
                <w:w w:val="96.66666984558105"/>
                <w:rFonts w:ascii="Times" w:hAnsi="Times" w:eastAsia="Times"/>
                <w:b w:val="0"/>
                <w:i w:val="0"/>
                <w:color w:val="221F1F"/>
                <w:sz w:val="12"/>
              </w:rPr>
              <w:t>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March of the following year.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Institute existing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Body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Institute on that day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 made under and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member of the Body Corporate shall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discharging the debts and liabilities of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for any other  purpose, be liable to make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exceeding the amount due from such  member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 membership fee without his consent.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cause proper accounts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kept of its income, expenditure, and all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audits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transactions 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a Qualified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392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38" w:lineRule="auto" w:before="2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section, “Qualified Auditor” means -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40" w:after="0"/>
        <w:ind w:left="151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Executive Committee of such Institute;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2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which, being a member of the Institute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Chartered Accountants of Sri Lanka or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law; possesses a certificate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of such 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Body Corporate shall be in the custody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honorary secretary and shall not be affixed to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whatsoever except with the authority of the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Committee previously obtained, and in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of two members of the Executive Committee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duly authorized by the Executive Committee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sign their names to the instruments in token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presence and such signing shall be independent of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titles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signing of any person as a witness.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Fellow member or Affiliate Fellow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who is registered as a member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designations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 shall have the right to use the abbreviated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designation “FIDT (SL)” after his name to indicate that he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Fellow member.</w:t>
      </w:r>
    </w:p>
    <w:p>
      <w:pPr>
        <w:autoSpaceDN w:val="0"/>
        <w:autoSpaceDE w:val="0"/>
        <w:widowControl/>
        <w:spacing w:line="245" w:lineRule="auto" w:before="242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General member or Affiliate General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who is registered as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 shall have the right to use the abbreviated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designation “MIDT (SL)” after his name to indicate that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member.</w:t>
            </w:r>
          </w:p>
        </w:tc>
      </w:tr>
    </w:tbl>
    <w:p>
      <w:pPr>
        <w:autoSpaceDN w:val="0"/>
        <w:autoSpaceDE w:val="0"/>
        <w:widowControl/>
        <w:spacing w:line="247" w:lineRule="auto" w:before="18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who has the right to use the abbreviated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designation of “FIDT (SL)”  or “MIDT (SL)”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subsections (1) and (2) shall also be entitled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45" w:lineRule="auto" w:before="248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and use the title “Drafting Technologist” together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 prefixes “Building, Civil, Electrical, </w:t>
      </w:r>
      <w:r>
        <w:rPr>
          <w:rFonts w:ascii="Times" w:hAnsi="Times" w:eastAsia="Times"/>
          <w:b w:val="0"/>
          <w:i w:val="0"/>
          <w:color w:val="221F1F"/>
          <w:sz w:val="20"/>
        </w:rPr>
        <w:t>Mechanical and MEP” relevant to the practice of the member,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case maybe and as reflected in the register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the CIDA provided that the title cannot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used in the absence of the use of the respective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>abbreviated designation 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person shall take or use any title, description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 as</w:t>
            </w:r>
          </w:p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abbreviation referred to in section 13 and which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use of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only a member enrolled in any grade or the class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specified in section 13 may take or use, unless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for the time being enrolled as a member in that grade or </w:t>
      </w:r>
      <w:r>
        <w:rPr>
          <w:rFonts w:ascii="Times" w:hAnsi="Times" w:eastAsia="Times"/>
          <w:b w:val="0"/>
          <w:i w:val="0"/>
          <w:color w:val="221F1F"/>
          <w:sz w:val="20"/>
        </w:rPr>
        <w:t>Class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subsection shall–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38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guilty of an offence under this Act;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entitled to institute, or maintain, after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one year from coming into force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section, any action in a court of law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any fees for services rendered by him as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meaning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Drafting Technologist.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 Act, a person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as a Drafting Technologist, if,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Drafting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Technologist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or remuneration received or to be received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Drafting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by himself or in partnership with any other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engages himself in the preparation of Building,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Civil, Electrical, Mechanical and MEP drawings;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the latest register which is to be published by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or the CIDA from time to time,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in the case of the CIDA, he is rendering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service-constituting practice as a Drafting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Technologist as may be prescribed by the CIDA.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392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45" w:lineRule="auto" w:before="254" w:after="182"/>
        <w:ind w:left="21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Renders any other service, which may be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CIDA to be a service-constituting practice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Drafting Technologist.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purposes of this Act, subject to the Grading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Classification of Membership provided under this Act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Rules made hereunder, where appropriate such as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Courses, Accreditation, Registration etc, </w:t>
      </w:r>
      <w:r>
        <w:rPr>
          <w:rFonts w:ascii="Times" w:hAnsi="Times" w:eastAsia="Times"/>
          <w:b w:val="0"/>
          <w:i w:val="0"/>
          <w:color w:val="221F1F"/>
          <w:sz w:val="20"/>
        </w:rPr>
        <w:t>Drafting Technology shall also mean to include the practice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a Draughtsman / Draughtsperson recognised under any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neglects or fails to comply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provisions of section 14 of this Act shall be guilty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under this Act and on conviction after 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Magistrate Court, be liable to imprisonment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period not exceeding six months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fifty thousand rupees or to both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17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000000"/>
          <w:sz w:val="20"/>
        </w:rPr>
        <w:t>body of persons, then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corporate, every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and office of that body corporate, or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 firm, every partner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firm,shall be guilty of that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Provided, however, that a member or an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body corporate or a partner of such firm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deemed to be guilty of such offence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proves that such offence was committed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knowledge or that he exercised all due diligence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Section 9, the initial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Finance,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capital of   the Body Corporate under and for the purpose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the capital reserve of the Institute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04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contracts, agreements, assets and property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existing on the day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to be contracts, </w:t>
      </w:r>
      <w:r>
        <w:rPr>
          <w:rFonts w:ascii="Times" w:hAnsi="Times" w:eastAsia="Times"/>
          <w:b w:val="0"/>
          <w:i w:val="0"/>
          <w:color w:val="221F1F"/>
          <w:sz w:val="20"/>
        </w:rPr>
        <w:t>agreements, assets and property of the Body Corporate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the purpose of this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upon the dissolution of the Body Corporate,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any property whatsoever, after the satisfaction of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liabilities, such property shall not be distributed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Body Corporate, but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or transferred to some other institution or institutions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Body Corporate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or are by its rules prohibited from distributing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or property among its or their members. Such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institutions may be determined by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on or before the dissolution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contain in this Act shall prejudice or affect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and any body politic or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other persons except such as are mentioned 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those claiming by from or under them.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tabs>
          <w:tab w:pos="6624" w:val="left"/>
        </w:tabs>
        <w:autoSpaceDE w:val="0"/>
        <w:widowControl/>
        <w:spacing w:line="252" w:lineRule="auto" w:before="6" w:after="0"/>
        <w:ind w:left="338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inconsistency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SCHEDULES</w:t>
      </w:r>
    </w:p>
    <w:p>
      <w:pPr>
        <w:autoSpaceDN w:val="0"/>
        <w:autoSpaceDE w:val="0"/>
        <w:widowControl/>
        <w:spacing w:line="238" w:lineRule="auto" w:before="158" w:after="0"/>
        <w:ind w:left="0" w:right="4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</w:p>
    <w:p>
      <w:pPr>
        <w:autoSpaceDN w:val="0"/>
        <w:autoSpaceDE w:val="0"/>
        <w:widowControl/>
        <w:spacing w:line="245" w:lineRule="auto" w:before="154" w:after="9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grading of Corporate members, Non-Corporate members and </w:t>
      </w:r>
      <w:r>
        <w:rPr>
          <w:rFonts w:ascii="Times" w:hAnsi="Times" w:eastAsia="Times"/>
          <w:b w:val="0"/>
          <w:i w:val="0"/>
          <w:color w:val="221F1F"/>
          <w:sz w:val="16"/>
        </w:rPr>
        <w:t>Affiliate members of the Body Corporate shall be as follows—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19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Corporate member of the Body Corporate shall be graded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a Fellow member or a General member; and</w:t>
            </w:r>
          </w:p>
          <w:p>
            <w:pPr>
              <w:autoSpaceDN w:val="0"/>
              <w:autoSpaceDE w:val="0"/>
              <w:widowControl/>
              <w:spacing w:line="245" w:lineRule="auto" w:before="154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Affiliate member of the Body Corporate shall be graded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an Affiliate Fellow member or a Affiliate General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 Affiliate Associate member or an Affiliate Probationer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member; and</w:t>
            </w:r>
          </w:p>
          <w:p>
            <w:pPr>
              <w:autoSpaceDN w:val="0"/>
              <w:autoSpaceDE w:val="0"/>
              <w:widowControl/>
              <w:spacing w:line="245" w:lineRule="auto" w:before="154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Non-Corporate member of the Body Corporate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graded as an Associate member or a Probationer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 Student member.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50" w:val="left"/>
          <w:tab w:pos="6392" w:val="left"/>
        </w:tabs>
        <w:autoSpaceDE w:val="0"/>
        <w:widowControl/>
        <w:spacing w:line="245" w:lineRule="auto" w:before="0" w:after="0"/>
        <w:ind w:left="279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Drafting Technologists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tabs>
          <w:tab w:pos="2038" w:val="left"/>
          <w:tab w:pos="3600" w:val="left"/>
        </w:tabs>
        <w:autoSpaceDE w:val="0"/>
        <w:widowControl/>
        <w:spacing w:line="247" w:lineRule="auto" w:before="25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CHDULE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(1) A person shall be eligible to be enrolled as a Fellow member if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he possesses the National Vocational Qualification level 5 – Drafting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Technology and has continuously served in the Executive Committee </w:t>
      </w:r>
      <w:r>
        <w:rPr>
          <w:rFonts w:ascii="Times" w:hAnsi="Times" w:eastAsia="Times"/>
          <w:b w:val="0"/>
          <w:i w:val="0"/>
          <w:color w:val="221F1F"/>
          <w:sz w:val="16"/>
        </w:rPr>
        <w:t>for 6 years.</w:t>
      </w:r>
    </w:p>
    <w:p>
      <w:pPr>
        <w:autoSpaceDN w:val="0"/>
        <w:autoSpaceDE w:val="0"/>
        <w:widowControl/>
        <w:spacing w:line="247" w:lineRule="auto" w:before="2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A person shall be eligible to be enrolled as a General member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he possesses the National Vocational Qualification level 5 – Drafting </w:t>
      </w:r>
      <w:r>
        <w:rPr>
          <w:rFonts w:ascii="Times" w:hAnsi="Times" w:eastAsia="Times"/>
          <w:b w:val="0"/>
          <w:i w:val="0"/>
          <w:color w:val="221F1F"/>
          <w:sz w:val="16"/>
        </w:rPr>
        <w:t>Technology.</w:t>
      </w:r>
    </w:p>
    <w:p>
      <w:pPr>
        <w:autoSpaceDN w:val="0"/>
        <w:autoSpaceDE w:val="0"/>
        <w:widowControl/>
        <w:spacing w:line="247" w:lineRule="auto" w:before="2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A person shall be eligible to be enrolled as an Associate member </w:t>
      </w:r>
      <w:r>
        <w:rPr>
          <w:rFonts w:ascii="Times" w:hAnsi="Times" w:eastAsia="Times"/>
          <w:b w:val="0"/>
          <w:i w:val="0"/>
          <w:color w:val="221F1F"/>
          <w:sz w:val="16"/>
        </w:rPr>
        <w:t>if he possesses National Vocational Qualification level 4 –</w:t>
      </w:r>
      <w:r>
        <w:rPr>
          <w:rFonts w:ascii="Times" w:hAnsi="Times" w:eastAsia="Times"/>
          <w:b w:val="0"/>
          <w:i w:val="0"/>
          <w:color w:val="221F1F"/>
          <w:sz w:val="16"/>
        </w:rPr>
        <w:t>Draughtsperson.</w:t>
      </w:r>
    </w:p>
    <w:p>
      <w:pPr>
        <w:autoSpaceDN w:val="0"/>
        <w:autoSpaceDE w:val="0"/>
        <w:widowControl/>
        <w:spacing w:line="247" w:lineRule="auto" w:before="20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A person shall be eligible to be enrolled as an Probationer </w:t>
      </w:r>
      <w:r>
        <w:rPr>
          <w:rFonts w:ascii="Times" w:hAnsi="Times" w:eastAsia="Times"/>
          <w:b w:val="0"/>
          <w:i w:val="0"/>
          <w:color w:val="221F1F"/>
          <w:sz w:val="16"/>
        </w:rPr>
        <w:t>member if he possesses National Vocational Qualification level 3 –</w:t>
      </w:r>
      <w:r>
        <w:rPr>
          <w:rFonts w:ascii="Times" w:hAnsi="Times" w:eastAsia="Times"/>
          <w:b w:val="0"/>
          <w:i w:val="0"/>
          <w:color w:val="221F1F"/>
          <w:sz w:val="16"/>
        </w:rPr>
        <w:t>Draughtsperson.</w:t>
      </w:r>
    </w:p>
    <w:p>
      <w:pPr>
        <w:autoSpaceDN w:val="0"/>
        <w:autoSpaceDE w:val="0"/>
        <w:widowControl/>
        <w:spacing w:line="238" w:lineRule="auto" w:before="2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(5) A person shall be eligible to be enrolled as a Student member</w:t>
      </w:r>
    </w:p>
    <w:p>
      <w:pPr>
        <w:autoSpaceDN w:val="0"/>
        <w:autoSpaceDE w:val="0"/>
        <w:widowControl/>
        <w:spacing w:line="238" w:lineRule="auto" w:before="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if he possesses a National Vocational Qualification level 2 or below.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Drafting Technologists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5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</w:t>
      </w:r>
    </w:p>
    <w:p>
      <w:pPr>
        <w:autoSpaceDN w:val="0"/>
        <w:autoSpaceDE w:val="0"/>
        <w:widowControl/>
        <w:spacing w:line="235" w:lineRule="auto" w:before="901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