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68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496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352" w:after="0"/>
        <w:ind w:left="0" w:right="242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VALUE ADDED TAX (AMENDMENT)</w:t>
      </w:r>
    </w:p>
    <w:p>
      <w:pPr>
        <w:autoSpaceDN w:val="0"/>
        <w:autoSpaceDE w:val="0"/>
        <w:widowControl/>
        <w:spacing w:line="238" w:lineRule="auto" w:before="364" w:after="0"/>
        <w:ind w:left="0" w:right="44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310" w:after="0"/>
        <w:ind w:left="0" w:right="431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5" w:lineRule="auto" w:before="458" w:after="0"/>
        <w:ind w:left="2166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Value Added Tax Act, No. 14 of 2002</w:t>
      </w:r>
    </w:p>
    <w:p>
      <w:pPr>
        <w:autoSpaceDN w:val="0"/>
        <w:autoSpaceDE w:val="0"/>
        <w:widowControl/>
        <w:spacing w:line="238" w:lineRule="auto" w:before="328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7" w:lineRule="auto" w:before="266" w:after="0"/>
        <w:ind w:left="1440" w:right="158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Prime Minister and Minister of Public Administration,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Home Affairs, Provincial Councils and Local Government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on 18th of October, 2022</w:t>
      </w:r>
    </w:p>
    <w:p>
      <w:pPr>
        <w:autoSpaceDN w:val="0"/>
        <w:autoSpaceDE w:val="0"/>
        <w:widowControl/>
        <w:spacing w:line="238" w:lineRule="auto" w:before="252" w:after="0"/>
        <w:ind w:left="0" w:right="25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September 27, 2022)</w:t>
      </w:r>
    </w:p>
    <w:p>
      <w:pPr>
        <w:autoSpaceDN w:val="0"/>
        <w:autoSpaceDE w:val="0"/>
        <w:widowControl/>
        <w:spacing w:line="245" w:lineRule="auto" w:before="252" w:after="0"/>
        <w:ind w:left="2880" w:right="302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10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155]</w:t>
      </w:r>
    </w:p>
    <w:p>
      <w:pPr>
        <w:autoSpaceDN w:val="0"/>
        <w:autoSpaceDE w:val="0"/>
        <w:widowControl/>
        <w:spacing w:line="245" w:lineRule="auto" w:before="12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8" w:lineRule="auto" w:before="112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36" w:after="0"/>
        <w:ind w:left="13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08"/>
        <w:ind w:left="0" w:right="0"/>
      </w:pPr>
    </w:p>
    <w:p>
      <w:pPr>
        <w:autoSpaceDN w:val="0"/>
        <w:tabs>
          <w:tab w:pos="1670" w:val="left"/>
          <w:tab w:pos="1818" w:val="left"/>
          <w:tab w:pos="1864" w:val="left"/>
          <w:tab w:pos="3448" w:val="left"/>
        </w:tabs>
        <w:autoSpaceDE w:val="0"/>
        <w:widowControl/>
        <w:spacing w:line="408" w:lineRule="auto" w:before="0" w:after="0"/>
        <w:ind w:left="1430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STATEMENT OF LEGAL EFFECT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 2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2 of the Value Added Tax Act, No. 14 of 2002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(hereinafter referred to as the “principal enactment”), and the legal effect of that section as </w:t>
      </w:r>
      <w:r>
        <w:rPr>
          <w:rFonts w:ascii="Times" w:hAnsi="Times" w:eastAsia="Times"/>
          <w:b w:val="0"/>
          <w:i w:val="0"/>
          <w:color w:val="000000"/>
          <w:sz w:val="16"/>
        </w:rPr>
        <w:t>amended is to increase the VAT rate–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(i) from 8% to 12% with effect from June 1, 2022 to August 31, 2022;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(ii) from 12% to 15% with effect from September 1, 2022,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on the value of goods or services supplied, or goods imported.</w:t>
      </w:r>
    </w:p>
    <w:p>
      <w:pPr>
        <w:autoSpaceDN w:val="0"/>
        <w:autoSpaceDE w:val="0"/>
        <w:widowControl/>
        <w:spacing w:line="254" w:lineRule="auto" w:before="222" w:after="0"/>
        <w:ind w:left="1430" w:right="1348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3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10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that section as amended is to decrease the threshold of registration for VAT from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Rs. 300 million to Rs. 80 million 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per annum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with effect from October 1, 2022.</w:t>
      </w:r>
    </w:p>
    <w:p>
      <w:pPr>
        <w:autoSpaceDN w:val="0"/>
        <w:autoSpaceDE w:val="0"/>
        <w:widowControl/>
        <w:spacing w:line="254" w:lineRule="auto" w:before="220" w:after="0"/>
        <w:ind w:left="1430" w:right="1350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Part II of the First Schedule to the principal enactment in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order to remove the VAT exemption on condominium residential apartments with effect </w:t>
      </w:r>
      <w:r>
        <w:rPr>
          <w:rFonts w:ascii="Times" w:hAnsi="Times" w:eastAsia="Times"/>
          <w:b w:val="0"/>
          <w:i w:val="0"/>
          <w:color w:val="000000"/>
          <w:sz w:val="16"/>
        </w:rPr>
        <w:t>from October 1, 2022.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1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Value Added Tax (Amendment)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4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 D.— O. 16/2022</w:t>
      </w:r>
    </w:p>
    <w:p>
      <w:pPr>
        <w:autoSpaceDN w:val="0"/>
        <w:autoSpaceDE w:val="0"/>
        <w:widowControl/>
        <w:spacing w:line="238" w:lineRule="auto" w:before="294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221F1F"/>
          <w:sz w:val="14"/>
        </w:rPr>
        <w:t>ALUE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DDED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AX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14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2002</w:t>
      </w:r>
    </w:p>
    <w:p>
      <w:pPr>
        <w:autoSpaceDN w:val="0"/>
        <w:autoSpaceDE w:val="0"/>
        <w:widowControl/>
        <w:spacing w:line="254" w:lineRule="auto" w:before="292" w:after="232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Value Added Tax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228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(Amendment) Act, No.    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13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 of the Value Added Tax Act, No.14 of 2002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of section 2</w:t>
            </w:r>
          </w:p>
        </w:tc>
      </w:tr>
      <w:tr>
        <w:trPr>
          <w:trHeight w:hRule="exact" w:val="1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“principal enactment”)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of Act,</w:t>
            </w:r>
          </w:p>
        </w:tc>
      </w:tr>
      <w:tr>
        <w:trPr>
          <w:trHeight w:hRule="exact" w:val="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No.14 of</w:t>
            </w:r>
          </w:p>
        </w:tc>
      </w:tr>
      <w:tr>
        <w:trPr>
          <w:trHeight w:hRule="exact" w:val="51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1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item (v) of sub-paragraph (v) of subsection (1) of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2002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section by the  substitution for the words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figures “November 30, 2019; and” of the words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0" w:right="36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figures “November 30, 2019;”;</w:t>
      </w:r>
    </w:p>
    <w:p>
      <w:pPr>
        <w:autoSpaceDN w:val="0"/>
        <w:tabs>
          <w:tab w:pos="2052" w:val="left"/>
          <w:tab w:pos="2508" w:val="left"/>
          <w:tab w:pos="2516" w:val="left"/>
        </w:tabs>
        <w:autoSpaceDE w:val="0"/>
        <w:widowControl/>
        <w:spacing w:line="266" w:lineRule="auto" w:before="290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item (vi) of sub-paragraph (v) of subsection 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that section by the substitution for the words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figures,  “commencing on or after January 1, 2020”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words and figures “commencing on or after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January 1, 2020 but ending on or before May 31,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2022;”; and</w:t>
      </w:r>
    </w:p>
    <w:p>
      <w:pPr>
        <w:autoSpaceDN w:val="0"/>
        <w:tabs>
          <w:tab w:pos="2052" w:val="left"/>
          <w:tab w:pos="2508" w:val="left"/>
          <w:tab w:pos="2516" w:val="left"/>
        </w:tabs>
        <w:autoSpaceDE w:val="0"/>
        <w:widowControl/>
        <w:spacing w:line="259" w:lineRule="auto" w:before="29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 immediately after the item (vi)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subparagraph (v) of subsection (1) of that 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following:-</w:t>
      </w:r>
    </w:p>
    <w:p>
      <w:pPr>
        <w:autoSpaceDN w:val="0"/>
        <w:tabs>
          <w:tab w:pos="2540" w:val="left"/>
          <w:tab w:pos="3116" w:val="left"/>
        </w:tabs>
        <w:autoSpaceDE w:val="0"/>
        <w:widowControl/>
        <w:spacing w:line="266" w:lineRule="auto" w:before="294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“(vii) for the period commencing on June 1, 2022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ending on June 30, 2022 and for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taxable period commencing on or after July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1, 2022 but ending on August 31, 2022 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rate of twelve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(of which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tax fraction is 3/28);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5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Value Added Tax (Amendment)</w:t>
      </w:r>
    </w:p>
    <w:p>
      <w:pPr>
        <w:autoSpaceDN w:val="0"/>
        <w:tabs>
          <w:tab w:pos="2388" w:val="left"/>
          <w:tab w:pos="3022" w:val="left"/>
          <w:tab w:pos="3024" w:val="left"/>
        </w:tabs>
        <w:autoSpaceDE w:val="0"/>
        <w:widowControl/>
        <w:spacing w:line="250" w:lineRule="auto" w:before="502" w:after="194"/>
        <w:ind w:left="138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“(viii) for the period commencing on September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1, 2022 and ending on September 30, 2022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for any taxable period commencing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after October 1, 2022 at the rate of fifteen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(of which the tax fraction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3/23).”.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16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10 of the principal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of that section as follows:-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of section 10</w:t>
            </w:r>
          </w:p>
        </w:tc>
      </w:tr>
      <w:tr>
        <w:trPr>
          <w:trHeight w:hRule="exact" w:val="18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93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paragraph (vi), for the words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figures,  “on or after January 1, 2020, carries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on” of the words and figures “on or after January 1,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19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2020 but on or before September 30, 2022, carries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on”;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 immediately after paragraph (vi),</w:t>
            </w:r>
          </w:p>
        </w:tc>
      </w:tr>
      <w:tr>
        <w:trPr>
          <w:trHeight w:hRule="exact" w:val="3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following:-</w:t>
            </w:r>
          </w:p>
        </w:tc>
      </w:tr>
    </w:tbl>
    <w:p>
      <w:pPr>
        <w:autoSpaceDN w:val="0"/>
        <w:autoSpaceDE w:val="0"/>
        <w:widowControl/>
        <w:spacing w:line="247" w:lineRule="auto" w:before="172" w:after="188"/>
        <w:ind w:left="3064" w:right="2516" w:hanging="51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“(vii) on or after October 1, 2022, carries 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carries out any taxable activity in Sri Lanka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required to be registered under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Act, if–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 the end of any taxable period of one</w:t>
            </w:r>
          </w:p>
        </w:tc>
      </w:tr>
    </w:tbl>
    <w:p>
      <w:pPr>
        <w:autoSpaceDN w:val="0"/>
        <w:autoSpaceDE w:val="0"/>
        <w:widowControl/>
        <w:spacing w:line="247" w:lineRule="auto" w:before="6" w:after="8"/>
        <w:ind w:left="338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month or three months, as the case 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be, the total value of the taxable supplies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goods or services or goods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services of such person, made in Sri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9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92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Lanka in that taxable period of one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month or three months, as the case may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be, is twenty million rupees or more; or</w:t>
      </w:r>
    </w:p>
    <w:p>
      <w:pPr>
        <w:autoSpaceDN w:val="0"/>
        <w:tabs>
          <w:tab w:pos="2994" w:val="left"/>
          <w:tab w:pos="3384" w:val="left"/>
        </w:tabs>
        <w:autoSpaceDE w:val="0"/>
        <w:widowControl/>
        <w:spacing w:line="250" w:lineRule="auto" w:before="254" w:after="0"/>
        <w:ind w:left="134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twelve months period then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ending, the total value of the taxable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supplies of goods or services or goods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services of such person, made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has exceeded eighty million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rupees;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9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Value Added Tax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3476" w:val="left"/>
          <w:tab w:pos="3478" w:val="left"/>
        </w:tabs>
        <w:autoSpaceDE w:val="0"/>
        <w:widowControl/>
        <w:spacing w:line="247" w:lineRule="auto" w:before="494" w:after="8"/>
        <w:ind w:left="310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any time, there are reasonable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grounds to believe that the total value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taxable supplies of goods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services or goods and services of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9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9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person, made in Sri Lanka,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succeeding one month or three months</w:t>
            </w:r>
          </w:p>
        </w:tc>
      </w:tr>
    </w:tbl>
    <w:p>
      <w:pPr>
        <w:autoSpaceDN w:val="0"/>
        <w:tabs>
          <w:tab w:pos="3478" w:val="left"/>
        </w:tabs>
        <w:autoSpaceDE w:val="0"/>
        <w:widowControl/>
        <w:spacing w:line="247" w:lineRule="auto" w:before="8" w:after="194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taxable period, as the case may be,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likely to exceed twenty million rupees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in the succeeding twelve months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is likely to exceed eighty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million rupees.”.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3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7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First Schedule to the principal enactment is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amended in Part II thereof as follows:-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First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 to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sub-item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item (xi)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that PART, by the substitution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and figures “if such supply has taken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6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place on or after December 1, 2019, by any person,”,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words and figures “if such supply has taken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place on or after December 1, 2019, but on or before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September 30, 2022, by any person,”; and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addition immediately after sub-item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9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item (xi)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), of the following:-</w:t>
      </w:r>
    </w:p>
    <w:p>
      <w:pPr>
        <w:autoSpaceDN w:val="0"/>
        <w:autoSpaceDE w:val="0"/>
        <w:widowControl/>
        <w:spacing w:line="235" w:lineRule="auto" w:before="254" w:after="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 if such supply has taken place on or after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</w:tblGrid>
      <w:tr>
        <w:trPr>
          <w:trHeight w:hRule="exact" w:val="228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2" w:after="0"/>
              <w:ind w:left="0" w:right="6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0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October 1, 2022, by any person, other than</w:t>
            </w:r>
          </w:p>
        </w:tc>
      </w:tr>
      <w:tr>
        <w:trPr>
          <w:trHeight w:hRule="exact" w:val="240"/>
        </w:trPr>
        <w:tc>
          <w:tcPr>
            <w:tcW w:type="dxa" w:w="902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lease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</w:t>
            </w:r>
          </w:p>
        </w:tc>
        <w:tc>
          <w:tcPr>
            <w:tcW w:type="dxa" w:w="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rent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</w:t>
            </w:r>
          </w:p>
        </w:tc>
        <w:tc>
          <w:tcPr>
            <w:tcW w:type="dxa" w:w="2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residential</w:t>
            </w:r>
          </w:p>
        </w:tc>
      </w:tr>
      <w:tr>
        <w:trPr>
          <w:trHeight w:hRule="exact" w:val="252"/>
        </w:trPr>
        <w:tc>
          <w:tcPr>
            <w:tcW w:type="dxa" w:w="902"/>
            <w:vMerge/>
            <w:tcBorders/>
          </w:tcPr>
          <w:p/>
        </w:tc>
        <w:tc>
          <w:tcPr>
            <w:tcW w:type="dxa" w:w="226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accommodation </w:t>
            </w:r>
          </w:p>
        </w:tc>
        <w:tc>
          <w:tcPr>
            <w:tcW w:type="dxa" w:w="4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</w:t>
            </w:r>
          </w:p>
        </w:tc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supply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242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condominium residential accommodation.”.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360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96"/>
        <w:ind w:left="0" w:right="0"/>
      </w:pPr>
    </w:p>
    <w:p>
      <w:pPr>
        <w:autoSpaceDN w:val="0"/>
        <w:autoSpaceDE w:val="0"/>
        <w:widowControl/>
        <w:spacing w:line="1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3.9999999999998" w:type="dxa"/>
      </w:tblPr>
      <w:tblGrid>
        <w:gridCol w:w="4510"/>
        <w:gridCol w:w="4510"/>
      </w:tblGrid>
      <w:tr>
        <w:trPr>
          <w:trHeight w:hRule="exact" w:val="9632"/>
        </w:trPr>
        <w:tc>
          <w:tcPr>
            <w:tcW w:type="dxa" w:w="98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526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5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Value Added Tax (Amendment)</w:t>
            </w:r>
          </w:p>
        </w:tc>
      </w:tr>
    </w:tbl>
    <w:p>
      <w:pPr>
        <w:autoSpaceDN w:val="0"/>
        <w:autoSpaceDE w:val="0"/>
        <w:widowControl/>
        <w:spacing w:line="238" w:lineRule="auto" w:before="28" w:after="0"/>
        <w:ind w:left="0" w:right="34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