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0" w:after="0"/>
        <w:ind w:left="2160" w:right="2160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SRI SEELANANDA FOUNDATION </w:t>
      </w:r>
      <w:r>
        <w:rPr>
          <w:rFonts w:ascii="Times" w:hAnsi="Times" w:eastAsia="Times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5" w:lineRule="auto" w:before="442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310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06" w:after="0"/>
        <w:ind w:left="0" w:right="262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Sri Seelananda Foundation</w:t>
      </w:r>
    </w:p>
    <w:p>
      <w:pPr>
        <w:autoSpaceDN w:val="0"/>
        <w:autoSpaceDE w:val="0"/>
        <w:widowControl/>
        <w:spacing w:line="238" w:lineRule="auto" w:before="26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160" w:right="216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Hon. Weerasumana Weerasinghe, M. P. </w:t>
      </w:r>
      <w:r>
        <w:rPr>
          <w:rFonts w:ascii="Times" w:hAnsi="Times" w:eastAsia="Times"/>
          <w:b w:val="0"/>
          <w:i/>
          <w:color w:val="221F1F"/>
          <w:sz w:val="20"/>
        </w:rPr>
        <w:t>for Matara District on 19th of October, 2022</w:t>
      </w:r>
    </w:p>
    <w:p>
      <w:pPr>
        <w:autoSpaceDN w:val="0"/>
        <w:autoSpaceDE w:val="0"/>
        <w:widowControl/>
        <w:spacing w:line="235" w:lineRule="auto" w:before="254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10,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157]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Seelananda Foundation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66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EELANANDA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66" w:lineRule="auto" w:before="29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Seelananda Foundation” has heretofore been formed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carrying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28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4" w:lineRule="auto" w:before="28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4" w:lineRule="auto" w:before="294" w:after="234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Sri Seelananda 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“Sri Seelananda Foundation”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Seelananda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6" w:after="23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“Sri Seelananda Foundation” (hereinafter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full power and  authority to have and use a common seal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general objects for which the Corporation 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participate in social, cultural and economic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of the country;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62" w:val="left"/>
          <w:tab w:pos="3466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Seelananda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9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measures to protect the discipline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cultural values of the people;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assistance to develop worships places;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work  towards to protect and develop all rights of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women and children; and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peace, goodwill, understanding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co-operation among all communities and people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 be administered by a Committee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Management, consisting of Chairman, Secretary, Treasurer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another eleven members elected in accordance with such </w:t>
      </w:r>
      <w:r>
        <w:rPr>
          <w:rFonts w:ascii="Times" w:hAnsi="Times" w:eastAsia="Times"/>
          <w:b w:val="0"/>
          <w:i w:val="0"/>
          <w:color w:val="000000"/>
          <w:sz w:val="20"/>
        </w:rPr>
        <w:t>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50" w:after="11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whatsoever as are necessary or desirable for the promotion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 to acquire and hold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movable, to open, operate or close bank accounts, to borrow</w:t>
      </w:r>
    </w:p>
    <w:p>
      <w:pPr>
        <w:autoSpaceDN w:val="0"/>
        <w:autoSpaceDE w:val="0"/>
        <w:widowControl/>
        <w:spacing w:line="262" w:lineRule="auto" w:before="3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raise moneys with or without security, to erect any building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structure on any land held by the Corporation and to </w:t>
      </w:r>
      <w:r>
        <w:rPr>
          <w:rFonts w:ascii="Times" w:hAnsi="Times" w:eastAsia="Times"/>
          <w:b w:val="0"/>
          <w:i w:val="0"/>
          <w:color w:val="000000"/>
          <w:sz w:val="20"/>
        </w:rPr>
        <w:t>engage, employ and dismiss officers and servants required</w:t>
      </w:r>
    </w:p>
    <w:p>
      <w:pPr>
        <w:autoSpaceDN w:val="0"/>
        <w:autoSpaceDE w:val="0"/>
        <w:widowControl/>
        <w:spacing w:line="238" w:lineRule="auto" w:before="36" w:after="8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the carrying out of 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a majority of less than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two-thirds of the members present  to make rules,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 or any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law, on all or any of the following matters:–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58" w:val="left"/>
          <w:tab w:pos="6782" w:val="left"/>
        </w:tabs>
        <w:autoSpaceDE w:val="0"/>
        <w:widowControl/>
        <w:spacing w:line="245" w:lineRule="auto" w:before="0" w:after="0"/>
        <w:ind w:left="335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Seelananda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806" w:val="left"/>
        </w:tabs>
        <w:autoSpaceDE w:val="0"/>
        <w:widowControl/>
        <w:spacing w:line="245" w:lineRule="auto" w:before="248" w:after="0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p>
      <w:pPr>
        <w:autoSpaceDN w:val="0"/>
        <w:tabs>
          <w:tab w:pos="2806" w:val="left"/>
        </w:tabs>
        <w:autoSpaceDE w:val="0"/>
        <w:widowControl/>
        <w:spacing w:line="245" w:lineRule="auto" w:before="242" w:after="4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bearers, the resignation  from,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vacation of or removal from office of office bearers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3103"/>
        <w:gridCol w:w="3103"/>
        <w:gridCol w:w="3103"/>
      </w:tblGrid>
      <w:tr>
        <w:trPr>
          <w:trHeight w:hRule="exact" w:val="3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their powers, conduct and duties;</w:t>
            </w:r>
          </w:p>
        </w:tc>
      </w:tr>
      <w:tr>
        <w:trPr>
          <w:trHeight w:hRule="exact" w:val="362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 and duration of the members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8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the Management and its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officers, agents and servants of the</w:t>
            </w:r>
          </w:p>
        </w:tc>
      </w:tr>
      <w:tr>
        <w:trPr>
          <w:trHeight w:hRule="exact" w:val="3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3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Management or sub Committee and of the time,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1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places, notices and agenda of such meetings, the</w:t>
            </w:r>
          </w:p>
        </w:tc>
      </w:tr>
      <w:tr>
        <w:trPr>
          <w:trHeight w:hRule="exact" w:val="36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quorum thereof and the conduct of business thereof;</w:t>
            </w:r>
          </w:p>
        </w:tc>
      </w:tr>
      <w:tr>
        <w:trPr>
          <w:trHeight w:hRule="exact" w:val="36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 and management of the property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8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Corporation,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tabs>
          <w:tab w:pos="2326" w:val="left"/>
          <w:tab w:pos="2806" w:val="left"/>
        </w:tabs>
        <w:autoSpaceDE w:val="0"/>
        <w:widowControl/>
        <w:spacing w:line="245" w:lineRule="auto" w:before="128" w:after="66"/>
        <w:ind w:left="20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rule made by the Corporation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9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member of the Corporation shall  be subject</w:t>
            </w:r>
          </w:p>
        </w:tc>
      </w:tr>
    </w:tbl>
    <w:p>
      <w:pPr>
        <w:autoSpaceDN w:val="0"/>
        <w:autoSpaceDE w:val="0"/>
        <w:widowControl/>
        <w:spacing w:line="235" w:lineRule="auto" w:before="2" w:after="182"/>
        <w:ind w:left="20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2327"/>
        <w:gridCol w:w="2327"/>
        <w:gridCol w:w="2327"/>
        <w:gridCol w:w="232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on the day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commencement of this Act,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42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38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and discharge by the Corporation hereby constituted,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subscriptions and contributions payable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Corporation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20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 of this Act.</w:t>
      </w: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62" w:val="left"/>
          <w:tab w:pos="3466" w:val="left"/>
        </w:tabs>
        <w:autoSpaceDE w:val="0"/>
        <w:widowControl/>
        <w:spacing w:line="245" w:lineRule="auto" w:before="0" w:after="196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Seelananda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7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62" w:lineRule="auto" w:before="16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bequest, donation, subscription, contribution, fees or grants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Corporation shall be deposited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credit of the Corperation in one or more banks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 shall determine.</w:t>
      </w:r>
    </w:p>
    <w:p>
      <w:pPr>
        <w:autoSpaceDN w:val="0"/>
        <w:autoSpaceDE w:val="0"/>
        <w:widowControl/>
        <w:spacing w:line="259" w:lineRule="auto" w:before="288" w:after="12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in the exercise, performance and discharge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powers, duties and functions under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73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 which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or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lease, gift, testamentary disposition or otherwise,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property shall be held by the Corporation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this Act and subject to the rules under Section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6" w:after="228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06 of the Corportion,  with full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62" w:lineRule="auto" w:before="16" w:after="23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 is 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there 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all moneys received and expended,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306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Seelananda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examined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audited at least once in every year and the correctness of </w:t>
      </w:r>
      <w:r>
        <w:rPr>
          <w:rFonts w:ascii="Times" w:hAnsi="Times" w:eastAsia="Times"/>
          <w:b w:val="0"/>
          <w:i w:val="0"/>
          <w:color w:val="221F1F"/>
          <w:sz w:val="20"/>
        </w:rPr>
        <w:t>income and expenditure account and balance sheet certified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 qualified auditor appointed by the Committee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means—</w:t>
      </w:r>
    </w:p>
    <w:p>
      <w:pPr>
        <w:autoSpaceDN w:val="0"/>
        <w:tabs>
          <w:tab w:pos="2482" w:val="left"/>
          <w:tab w:pos="2878" w:val="left"/>
          <w:tab w:pos="288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482" w:val="left"/>
          <w:tab w:pos="2878" w:val="left"/>
          <w:tab w:pos="2886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seal of the Corporation shall not be affixed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two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Committee of Management, who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>such signing shall be independent of the signing of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witness.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politic,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 expect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Seelananda Foundation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34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308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