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2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26" w:after="0"/>
        <w:ind w:left="0" w:right="29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November 04, 2022</w:t>
      </w:r>
    </w:p>
    <w:p>
      <w:pPr>
        <w:autoSpaceDN w:val="0"/>
        <w:autoSpaceDE w:val="0"/>
        <w:widowControl/>
        <w:spacing w:line="238" w:lineRule="auto" w:before="40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32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10.11.2022)</w:t>
      </w:r>
    </w:p>
    <w:p>
      <w:pPr>
        <w:autoSpaceDN w:val="0"/>
        <w:autoSpaceDE w:val="0"/>
        <w:widowControl/>
        <w:spacing w:line="240" w:lineRule="auto" w:before="242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78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LICENSING OF SHIPPING AGENTS,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FREIGHT FORWARDERS, NON- VESSEL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OPERATING COMMON CARRIERS AND </w:t>
      </w:r>
      <w:r>
        <w:rPr>
          <w:rFonts w:ascii="Times" w:hAnsi="Times" w:eastAsia="Times"/>
          <w:b/>
          <w:i w:val="0"/>
          <w:color w:val="221F1F"/>
          <w:sz w:val="24"/>
        </w:rPr>
        <w:t>CONTAINER OPERATORS (AMENDMENT)</w:t>
      </w:r>
    </w:p>
    <w:p>
      <w:pPr>
        <w:autoSpaceDN w:val="0"/>
        <w:autoSpaceDE w:val="0"/>
        <w:widowControl/>
        <w:spacing w:line="235" w:lineRule="auto" w:before="146" w:after="0"/>
        <w:ind w:left="0" w:right="4308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14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5" w:lineRule="auto" w:before="15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amend the Licensing of Shipping Agents, Freight Forwarders,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Non- Vessel Operating Common Carriers and Container Operators </w:t>
      </w:r>
      <w:r>
        <w:rPr>
          <w:rFonts w:ascii="Times" w:hAnsi="Times" w:eastAsia="Times"/>
          <w:b/>
          <w:i w:val="0"/>
          <w:color w:val="221F1F"/>
          <w:sz w:val="20"/>
        </w:rPr>
        <w:t>Act, No. 22 of 1972</w:t>
      </w:r>
    </w:p>
    <w:p>
      <w:pPr>
        <w:autoSpaceDN w:val="0"/>
        <w:autoSpaceDE w:val="0"/>
        <w:widowControl/>
        <w:spacing w:line="235" w:lineRule="auto" w:before="74" w:after="0"/>
        <w:ind w:left="16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Ports, Shipping and Aviation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47" w:lineRule="auto" w:before="306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8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36" w:after="0"/>
        <w:ind w:left="1342" w:right="1436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Licensing of Shipping Agents, Freight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Forwarders, Non-Vessel Operating Common Carriers and Container Operators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 of 1972 and the legal effect of that section as amended is to provide for the Minister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regulations with respect of regulating the procedure for imposing and collecting </w:t>
      </w:r>
      <w:r>
        <w:rPr>
          <w:rFonts w:ascii="Times" w:hAnsi="Times" w:eastAsia="Times"/>
          <w:b w:val="0"/>
          <w:i w:val="0"/>
          <w:color w:val="000000"/>
          <w:sz w:val="16"/>
        </w:rPr>
        <w:t>charge or levy imposed by the relevant service providers.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0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Licensing of Shipping Agents, Freight Forwarders,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304" w:right="288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Non-Vessel Operating Common Carriers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Container Operators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(Amendment)</w:t>
      </w:r>
    </w:p>
    <w:p>
      <w:pPr>
        <w:autoSpaceDN w:val="0"/>
        <w:autoSpaceDE w:val="0"/>
        <w:widowControl/>
        <w:spacing w:line="238" w:lineRule="auto" w:before="49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21/2022</w:t>
      </w:r>
    </w:p>
    <w:p>
      <w:pPr>
        <w:autoSpaceDN w:val="0"/>
        <w:autoSpaceDE w:val="0"/>
        <w:widowControl/>
        <w:spacing w:line="245" w:lineRule="auto" w:before="25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ICENSING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HIPPING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GENTS</w:t>
      </w:r>
      <w:r>
        <w:rPr>
          <w:rFonts w:ascii="Times" w:hAnsi="Times" w:eastAsia="Times"/>
          <w:b w:val="0"/>
          <w:i w:val="0"/>
          <w:color w:val="221F1F"/>
          <w:sz w:val="20"/>
        </w:rPr>
        <w:t>,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REIGHT </w:t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ORWARDERS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-V</w:t>
      </w:r>
      <w:r>
        <w:rPr>
          <w:rFonts w:ascii="Times" w:hAnsi="Times" w:eastAsia="Times"/>
          <w:b w:val="0"/>
          <w:i w:val="0"/>
          <w:color w:val="221F1F"/>
          <w:sz w:val="14"/>
        </w:rPr>
        <w:t>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ARRIERS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ONTAINER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PERATORS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1972</w:t>
      </w:r>
    </w:p>
    <w:p>
      <w:pPr>
        <w:autoSpaceDN w:val="0"/>
        <w:autoSpaceDE w:val="0"/>
        <w:widowControl/>
        <w:spacing w:line="245" w:lineRule="auto" w:before="24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1798" w:val="left"/>
          <w:tab w:pos="2038" w:val="left"/>
          <w:tab w:pos="6736" w:val="left"/>
        </w:tabs>
        <w:autoSpaceDE w:val="0"/>
        <w:widowControl/>
        <w:spacing w:line="245" w:lineRule="auto" w:before="248" w:after="190"/>
        <w:ind w:left="1512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Licensing of Shipping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Agents, Freight Forwarders, Non-Vessel Operating Common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Carriers and Container Operators (Amendment)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……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Section 3 of the Licensing of Shipping Agents, Freight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Forwarders, Non- Vessel Operating Common Carriers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Container Operators Act, No. 10 of 1972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10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(5) thereof as follows:-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1972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88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“contravention of such standards.” 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“contravention of such standards;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 at the end of the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subsection, of the  following new paragraph:-</w:t>
            </w:r>
          </w:p>
        </w:tc>
      </w:tr>
    </w:tbl>
    <w:p>
      <w:pPr>
        <w:autoSpaceDN w:val="0"/>
        <w:tabs>
          <w:tab w:pos="2486" w:val="left"/>
          <w:tab w:pos="2878" w:val="left"/>
        </w:tabs>
        <w:autoSpaceDE w:val="0"/>
        <w:widowControl/>
        <w:spacing w:line="247" w:lineRule="auto" w:before="180" w:after="18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charge, levy and tariff imposed 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service providers of  shipping agents,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freight forwarders, non-vessel operating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common carriers and container operators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services rendered by them,  and regulating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of imposing and collecting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charge, levy and tariff 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5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2"/>
        <w:ind w:left="0" w:right="0"/>
      </w:pPr>
    </w:p>
    <w:p>
      <w:pPr>
        <w:autoSpaceDN w:val="0"/>
        <w:autoSpaceDE w:val="0"/>
        <w:widowControl/>
        <w:spacing w:line="18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Licensing of Shipping Agents, Freight Forwarders,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160" w:right="302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Non-Vessel Operating Common Carriers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Container Operators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(Amendment)</w:t>
      </w:r>
    </w:p>
    <w:p>
      <w:pPr>
        <w:autoSpaceDN w:val="0"/>
        <w:autoSpaceDE w:val="0"/>
        <w:widowControl/>
        <w:spacing w:line="235" w:lineRule="auto" w:before="8770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