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1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50" w:after="0"/>
        <w:ind w:left="183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REGULATION OF ELECTION EXPENDITURE</w:t>
      </w:r>
    </w:p>
    <w:p>
      <w:pPr>
        <w:autoSpaceDN w:val="0"/>
        <w:autoSpaceDE w:val="0"/>
        <w:widowControl/>
        <w:spacing w:line="238" w:lineRule="auto" w:before="306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10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228" w:after="0"/>
        <w:ind w:left="1344" w:right="1436" w:firstLine="0"/>
        <w:jc w:val="both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regulate the expenditure incurred by candidates at every election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conducted under the Local Authorities Elections Ordinance (Chapter 262);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the Provincial Councils Elections Act, No. 2 of 1988; the Parliamentary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Elections Act, No. 1 of 1981 and the Presidential Elections Act, No. 15 of </w:t>
      </w:r>
      <w:r>
        <w:rPr>
          <w:rFonts w:ascii="Times" w:hAnsi="Times" w:eastAsia="Times"/>
          <w:b/>
          <w:i w:val="0"/>
          <w:color w:val="000000"/>
          <w:sz w:val="20"/>
        </w:rPr>
        <w:t>1981 and to provide for matters connected therewith and incidental thereto</w:t>
      </w:r>
    </w:p>
    <w:p>
      <w:pPr>
        <w:autoSpaceDN w:val="0"/>
        <w:autoSpaceDE w:val="0"/>
        <w:widowControl/>
        <w:spacing w:line="238" w:lineRule="auto" w:before="10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96" w:after="0"/>
        <w:ind w:left="2160" w:right="216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08th of December, 2022</w:t>
      </w:r>
    </w:p>
    <w:p>
      <w:pPr>
        <w:autoSpaceDN w:val="0"/>
        <w:autoSpaceDE w:val="0"/>
        <w:widowControl/>
        <w:spacing w:line="238" w:lineRule="auto" w:before="252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29, 2022)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8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163]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L.D.-O. 30/2018 </w:t>
      </w:r>
      <w:r>
        <w:rPr>
          <w:rFonts w:ascii="Times" w:hAnsi="Times" w:eastAsia="Times"/>
          <w:b w:val="0"/>
          <w:i w:val="0"/>
          <w:color w:val="221F1F"/>
          <w:sz w:val="20"/>
        </w:rPr>
        <w:t>(ii)</w:t>
      </w:r>
    </w:p>
    <w:p>
      <w:pPr>
        <w:autoSpaceDN w:val="0"/>
        <w:autoSpaceDE w:val="0"/>
        <w:widowControl/>
        <w:spacing w:line="247" w:lineRule="auto" w:before="256" w:after="0"/>
        <w:ind w:left="2036" w:right="2424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REGULATE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INCURRED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CANDIDATES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 </w:t>
      </w:r>
      <w:r>
        <w:rPr>
          <w:rFonts w:ascii="Times" w:hAnsi="Times" w:eastAsia="Times"/>
          <w:b w:val="0"/>
          <w:i w:val="0"/>
          <w:color w:val="221F1F"/>
          <w:sz w:val="14"/>
        </w:rPr>
        <w:t>EVERY</w:t>
      </w:r>
      <w:r>
        <w:rPr>
          <w:rFonts w:ascii="Times" w:hAnsi="Times" w:eastAsia="Times"/>
          <w:b w:val="0"/>
          <w:i w:val="0"/>
          <w:color w:val="221F1F"/>
          <w:sz w:val="14"/>
        </w:rPr>
        <w:t>ELECTION</w:t>
      </w:r>
      <w:r>
        <w:rPr>
          <w:rFonts w:ascii="Times" w:hAnsi="Times" w:eastAsia="Times"/>
          <w:b w:val="0"/>
          <w:i w:val="0"/>
          <w:color w:val="221F1F"/>
          <w:sz w:val="14"/>
        </w:rPr>
        <w:t>CONDUCTED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UTHORITIES </w:t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262);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OUNCILS </w:t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1988;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ARLIAMENTARY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RESIDENTIAL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5" w:lineRule="auto" w:before="254" w:after="194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Regulation of 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Expenditure Act, No. …….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apply to every election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under –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Local Authorities Elections Ordinance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262);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Provincial Councils Elections Act, No. 2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1988;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Parliamentary Elections Act, No. 1 of 1981;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Presidential Elections Act, No. 15 of 1981.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Authorized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After the conclusion of the period of nomination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Proclamation or Order requiring the conduct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amount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election under any law specified in section 2,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Commission shall,  in consultation with recognized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parties, independent groups and other candidates </w:t>
      </w:r>
      <w:r>
        <w:rPr>
          <w:rFonts w:ascii="Times" w:hAnsi="Times" w:eastAsia="Times"/>
          <w:b w:val="0"/>
          <w:i w:val="0"/>
          <w:color w:val="221F1F"/>
          <w:sz w:val="20"/>
        </w:rPr>
        <w:t>contesting such election</w:t>
      </w:r>
      <w:r>
        <w:rPr>
          <w:rFonts w:ascii="Times" w:hAnsi="Times" w:eastAsia="Times"/>
          <w:b/>
          <w:i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fix by Order published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a sum of money in Sri Lankan rupees to be used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calculating the authorized amount 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Act, for such election.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Regulation of Election Expenditure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53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authorized amount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calculated as follows:-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66" w:after="6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an election conducted under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Elections Ordinance (Chapter 262),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Sri Lankan rupees resulting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the total number of registered voters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electoral area of the local authority for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is conducted, by such amount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Lankan rupees as may be fixed for that election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Commission under subsection (1);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an election conducted under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0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of 1988,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in Sri Lankan rupees resulting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the total number of registered voters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administrative district contested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candidate, by such amount of Sri Lankan rupees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fixed for that election by the 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(1);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an election conducted under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Parliamentary Elections Act, No. 1 of 1981,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Sri Lankan rupees resulting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the total number of registered voters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all the electoral districts contested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candidate, by such amount of Sri Lankan rupees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fixed for that election by the 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(1);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an election conducted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Elections Act, No. 15 of 1981,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amount in Sri Lankan rupees resulting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multiplication the total number of registered voters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electoral districts in the island, by such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Sri Lankan rupees as may be fixed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election by the Election Commission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0" w:lineRule="auto" w:before="496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authorized amount calculated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subsection (2),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candidate at an election conducted under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election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specified in section 2, shall not incur expenditure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excess of the authorized amount in respect of such election.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</w:t>
            </w:r>
          </w:p>
        </w:tc>
      </w:tr>
    </w:tbl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54" w:lineRule="auto" w:before="6" w:after="8"/>
        <w:ind w:left="147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candidate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candidate incurs expenditure in excess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amount in respect of such election, such candidate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an illegal practice within the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law specified in section 2 under which such election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conducted and, shall be liable to the penalties imposed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such law in respect of the offence of an illegal practice,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candidate proves that such expenditure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incurred without any sanction or connivance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candidate.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candidate at an election conducted under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specified in section 2, shall not accept or receive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acceptance of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 or contribution whether such donation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is in cash or kind from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donations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government department, a public corporation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2" w:after="2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company incorporated under the Companies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No.7 of 2007 or under any former written law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companies in which the government or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 owns any shares;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foreign government, an international organization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 body corporate incorporated or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company incorporated in Sri Lanka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7 of 2007 or under any former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relating to companies where the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shareholding in such company, either direct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indirect, is fifty percent or above;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</w:tr>
      <w:tr>
        <w:trPr>
          <w:trHeight w:hRule="exact" w:val="5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identity is not disclosed,</w:t>
            </w:r>
          </w:p>
        </w:tc>
      </w:tr>
    </w:tbl>
    <w:p>
      <w:pPr>
        <w:autoSpaceDN w:val="0"/>
        <w:autoSpaceDE w:val="0"/>
        <w:widowControl/>
        <w:spacing w:line="247" w:lineRule="auto" w:before="20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promoting or procuring the election of </w:t>
      </w:r>
      <w:r>
        <w:rPr>
          <w:rFonts w:ascii="Times" w:hAnsi="Times" w:eastAsia="Times"/>
          <w:b w:val="0"/>
          <w:i w:val="0"/>
          <w:color w:val="221F1F"/>
          <w:sz w:val="20"/>
        </w:rPr>
        <w:t>such candidate at such election.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206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candidate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commits an offence of an illegal practice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meaning of the law specified in section 2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election was conducted and shall be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penalties imposed under such laws in respect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of an illegal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candidate at an election conducted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Candidate to</w:t>
            </w:r>
          </w:p>
        </w:tc>
      </w:tr>
      <w:tr>
        <w:trPr>
          <w:trHeight w:hRule="exact" w:val="1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law specified in section 2 shall submit within twenty-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submit return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donations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days of the date of publication of the result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to the respective authority specified in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contributions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received and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return of all donations or contributions accepted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incurred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received by such candidate or on behalf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candidate;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return of all expenses incurred by such candidate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on behalf of such candidate,</w:t>
      </w:r>
    </w:p>
    <w:p>
      <w:pPr>
        <w:autoSpaceDN w:val="0"/>
        <w:tabs>
          <w:tab w:pos="1702" w:val="left"/>
        </w:tabs>
        <w:autoSpaceDE w:val="0"/>
        <w:widowControl/>
        <w:spacing w:line="240" w:lineRule="auto" w:before="26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promoting or procuring the election of such candidate.</w:t>
      </w:r>
    </w:p>
    <w:p>
      <w:pPr>
        <w:autoSpaceDN w:val="0"/>
        <w:autoSpaceDE w:val="0"/>
        <w:widowControl/>
        <w:spacing w:line="250" w:lineRule="auto" w:before="262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 “date of publication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result of such election” means, the date of publication </w:t>
      </w:r>
      <w:r>
        <w:rPr>
          <w:rFonts w:ascii="Times" w:hAnsi="Times" w:eastAsia="Times"/>
          <w:b w:val="0"/>
          <w:i w:val="0"/>
          <w:color w:val="221F1F"/>
          <w:sz w:val="20"/>
        </w:rPr>
        <w:t>of results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66 of the Local Authorities Elections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262) in the case of an election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conducted under that Ordinance;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60 of the Provincial Councils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2 of 1988 in the case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election conducted under that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94" w:after="17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62 of the Parliamentary Elections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 of 1981 in the case of an election conducted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that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64(2) of the Presidential Elections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15 of 1981 in the case of an election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conducted under that Act.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6" w:after="17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returns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submitted by the candidate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returning officer of the respective local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area with a copy to the Election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in the case of an election conducted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Local Authorities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Elections Ordinance (Chapter 262);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returning officer of the respective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administrative district with a copy to the Election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in the case of an election conducted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Provincial Councils Elections Act, No. 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returning officer of the respective electoral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with a copy to the Election Commission, in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of an election conducted under 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Parliamentary Elections Act, No. 1 of 1981;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5" w:lineRule="auto" w:before="238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Election Commission, in the case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conducted under the Presidential Elections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15 of 1981.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The return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state 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6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every donation or contribution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accepted or received by or on behalf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candidate, and if the donation or contribution is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kind, the estimated value of the donation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contribution;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such donation or contribution was by way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gift, loan, advance or deposit;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name, address and National Identity Card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number or registration number as the case may be,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individual or body of persons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unincorporated making such donation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contribution.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The return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include expenditure incurred by or on behalf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candidate, whether paid or unpaid for –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40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printing, publication, pasting, exhibition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display of, advertisements, handbills, flags,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drawings, photographs, placards or posters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election;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production and broadcast, on radio or television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advertisements relating to such election;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 and publication in newspapers,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journals or other publications, of advertisements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such election;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hiring or use of any premises or equipment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holding of meetings relating to such election;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hiring of vehicles for activities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other than expenditure for the  hiring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vehicles for the transport of the candidate;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 of fuel for the running of those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vehicles,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bills and receipts confirming the same, and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above services were obtained without payment, the </w:t>
      </w:r>
      <w:r>
        <w:rPr>
          <w:rFonts w:ascii="Times" w:hAnsi="Times" w:eastAsia="Times"/>
          <w:b w:val="0"/>
          <w:i w:val="0"/>
          <w:color w:val="221F1F"/>
          <w:sz w:val="20"/>
        </w:rPr>
        <w:t>names and the addresses of the persons from whom such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14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were obtained shall be included: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49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expenditure incurred by or on </w:t>
      </w:r>
      <w:r>
        <w:rPr>
          <w:rFonts w:ascii="Times" w:hAnsi="Times" w:eastAsia="Times"/>
          <w:b w:val="0"/>
          <w:i w:val="0"/>
          <w:color w:val="221F1F"/>
          <w:sz w:val="20"/>
        </w:rPr>
        <w:t>behalf of the candidate for 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64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transport of the candidate within the area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election is being held;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stationery, telephone or other means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communication,</w:t>
      </w:r>
    </w:p>
    <w:p>
      <w:pPr>
        <w:autoSpaceDN w:val="0"/>
        <w:autoSpaceDE w:val="0"/>
        <w:widowControl/>
        <w:spacing w:line="247" w:lineRule="auto" w:before="26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included in the return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206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returns referred to in subsection (1) shall be 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candidate and accompanied by a declaration 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candidate and attested by a Justice of the Peace,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 that the information in such returns is to the best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candidate’s knowledge, true and correct.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On receipt of the returns and declarations submitted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notice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candidates under section 6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respective returning officer, in the case of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receipt of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returns and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conducted under the Local Authorities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Ordinance (Chapter 262), the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Councils Elections Act, No.2 of 1988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Parliamentary Elections Act, No. 1 of 1981;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Commission, in the case of an election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under the Presidential Elections Act, No.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15 of 1981,</w:t>
      </w:r>
    </w:p>
    <w:p>
      <w:pPr>
        <w:autoSpaceDN w:val="0"/>
        <w:autoSpaceDE w:val="0"/>
        <w:widowControl/>
        <w:spacing w:line="238" w:lineRule="auto" w:before="264" w:after="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cause a notice to be published in at least one newspaper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Sinhala, Tamil and English languages stating that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returning officer or the Election Commission, as the case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has received the returns and declarations submitted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candidates named in the notice and indicating the </w:t>
      </w:r>
      <w:r>
        <w:rPr>
          <w:rFonts w:ascii="Times" w:hAnsi="Times" w:eastAsia="Times"/>
          <w:b w:val="0"/>
          <w:i w:val="0"/>
          <w:color w:val="221F1F"/>
          <w:sz w:val="20"/>
        </w:rPr>
        <w:t>place and time at which such returns and declarations may</w:t>
      </w:r>
    </w:p>
    <w:p>
      <w:pPr>
        <w:autoSpaceDN w:val="0"/>
        <w:tabs>
          <w:tab w:pos="1796" w:val="left"/>
        </w:tabs>
        <w:autoSpaceDE w:val="0"/>
        <w:widowControl/>
        <w:spacing w:line="274" w:lineRule="auto" w:before="20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inspected by any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Regulation of Election Expenditure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returning officer and the Election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permit a person to inspect the returns and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a candidate at the place and time mentioned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published under subsection (1) and shall allow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take copies of such returns or declaration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a fee of such amount as may be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Election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returning officer and the Election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preserve all returns and declarations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6, for a period of six months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receipt and may destroy such returns and declarations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the end of that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candidate at an election conducted under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illegal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specified in section 2, 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practice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fails, without reasonable cause, to comply with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subsection (1) of section 6;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any statement in any such return submitted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section 6 or in a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(6) of section 6, being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which such person knows, or ought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reasonably to have known, to be false,</w:t>
      </w:r>
    </w:p>
    <w:p>
      <w:pPr>
        <w:autoSpaceDN w:val="0"/>
        <w:autoSpaceDE w:val="0"/>
        <w:widowControl/>
        <w:spacing w:line="250" w:lineRule="auto" w:before="26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an illegal practice within the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law specified in section 2 under which such election was </w:t>
      </w:r>
      <w:r>
        <w:rPr>
          <w:rFonts w:ascii="Times" w:hAnsi="Times" w:eastAsia="Times"/>
          <w:b w:val="0"/>
          <w:i w:val="0"/>
          <w:color w:val="221F1F"/>
          <w:sz w:val="20"/>
        </w:rPr>
        <w:t>conducted, and shall be liable to penalties specified by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for the commission of an illegal practice.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unless the context otherwise requires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3022" w:val="left"/>
        </w:tabs>
        <w:autoSpaceDE w:val="0"/>
        <w:widowControl/>
        <w:spacing w:line="252" w:lineRule="auto" w:before="2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“donation or contribution accepted or received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a candidate” means, such donation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contribution which is accepted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with the express or implied consent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candidate;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7" w:lineRule="auto" w:before="494" w:after="0"/>
        <w:ind w:left="3118" w:right="242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“electoral district” means, an electoral district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a Proclamation under Article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97 of the Constitution and for the time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force; and</w:t>
      </w:r>
    </w:p>
    <w:p>
      <w:pPr>
        <w:autoSpaceDN w:val="0"/>
        <w:tabs>
          <w:tab w:pos="2518" w:val="left"/>
          <w:tab w:pos="3118" w:val="left"/>
        </w:tabs>
        <w:autoSpaceDE w:val="0"/>
        <w:widowControl/>
        <w:spacing w:line="254" w:lineRule="auto" w:before="232" w:after="194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means, a Municipal Council,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Urban Council or Pradeshiya Sabha.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2.0" w:type="dxa"/>
      </w:tblPr>
      <w:tblGrid>
        <w:gridCol w:w="4510"/>
        <w:gridCol w:w="4510"/>
      </w:tblGrid>
      <w:tr>
        <w:trPr>
          <w:trHeight w:hRule="exact" w:val="9462"/>
        </w:trPr>
        <w:tc>
          <w:tcPr>
            <w:tcW w:type="dxa" w:w="93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