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29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December 23, 2022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26.12.2022)</w:t>
      </w:r>
    </w:p>
    <w:p>
      <w:pPr>
        <w:autoSpaceDN w:val="0"/>
        <w:autoSpaceDE w:val="0"/>
        <w:widowControl/>
        <w:spacing w:line="240" w:lineRule="auto" w:before="28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78" w:after="0"/>
        <w:ind w:left="2016" w:right="1872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ASSOCIATION OF PROFESSIONAL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BANKERS - SRI LANKA (INCORPORATION)</w:t>
      </w:r>
    </w:p>
    <w:p>
      <w:pPr>
        <w:autoSpaceDN w:val="0"/>
        <w:autoSpaceDE w:val="0"/>
        <w:widowControl/>
        <w:spacing w:line="235" w:lineRule="auto" w:before="122" w:after="0"/>
        <w:ind w:left="0" w:right="351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52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70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66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0"/>
        </w:rPr>
        <w:t>to incorporate the Association of Professional Bankers-Sri Lanka</w:t>
      </w:r>
    </w:p>
    <w:p>
      <w:pPr>
        <w:autoSpaceDN w:val="0"/>
        <w:autoSpaceDE w:val="0"/>
        <w:widowControl/>
        <w:spacing w:line="235" w:lineRule="auto" w:before="334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 Hon. (Prof.) Charitha Herath,  M.P.</w:t>
      </w:r>
    </w:p>
    <w:p>
      <w:pPr>
        <w:autoSpaceDN w:val="0"/>
        <w:autoSpaceDE w:val="0"/>
        <w:widowControl/>
        <w:spacing w:line="245" w:lineRule="auto" w:before="35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54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25.00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56" w:after="0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SSOCIATION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ROFESSIONAL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14"/>
        </w:rPr>
        <w:t>ANKERS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-S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1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“Association of Professional Bankers - Sri Lanka”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heretofore been formed  for the purpose of effectually carrying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and accomplishing all objects and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said Association  according to the rules agreed to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Association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accomplished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will be for the public advantage to grant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application:</w:t>
      </w:r>
    </w:p>
    <w:p>
      <w:pPr>
        <w:autoSpaceDN w:val="0"/>
        <w:autoSpaceDE w:val="0"/>
        <w:widowControl/>
        <w:spacing w:line="247" w:lineRule="auto" w:before="26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Association of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Professional Bankers - Sri Lanka  (Incorporation) Act,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No.    of 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 Act,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of Professional Bankers - Sri Lanka  (hereinafter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 “the Association”) and such other persons who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Professional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hereafter be  admitted as members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Bankers-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constituted, shall be a body corporate with perpetual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204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under the name and style of  the “Association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Bankers - Sri Lanka” (hereinafter referred to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 “the Corporation”) and by that name may sue and be sued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all court with full power and  authority to have and to  use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common seal and to change or alter the same at its will and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64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47" w:lineRule="auto" w:before="60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general objects for which the Corporation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 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promote and facilitate studies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Banking and Financial Services within or </w:t>
      </w:r>
      <w:r>
        <w:rPr>
          <w:rFonts w:ascii="Times" w:hAnsi="Times" w:eastAsia="Times"/>
          <w:b w:val="0"/>
          <w:i w:val="0"/>
          <w:color w:val="221F1F"/>
          <w:sz w:val="20"/>
        </w:rPr>
        <w:t>outside Sri Lanka 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4" w:lineRule="auto" w:before="276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research and submit proposals to regulatory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 on the maintenance and development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sound banking structure;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offer prizes and scholarships or any other awards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encouraging studies and research in the field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and Financial Services and allied subjects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etc. ;</w:t>
      </w:r>
    </w:p>
    <w:p>
      <w:pPr>
        <w:autoSpaceDN w:val="0"/>
        <w:autoSpaceDE w:val="0"/>
        <w:widowControl/>
        <w:spacing w:line="257" w:lineRule="auto" w:before="27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promote research in the field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and Financial Services and undertake studies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research projects on contract from government, </w:t>
      </w:r>
      <w:r>
        <w:rPr>
          <w:rFonts w:ascii="Times" w:hAnsi="Times" w:eastAsia="Times"/>
          <w:b w:val="0"/>
          <w:i w:val="0"/>
          <w:color w:val="221F1F"/>
          <w:sz w:val="20"/>
        </w:rPr>
        <w:t>private and international agencies or institutions ;</w:t>
      </w:r>
    </w:p>
    <w:p>
      <w:pPr>
        <w:autoSpaceDN w:val="0"/>
        <w:tabs>
          <w:tab w:pos="1974" w:val="left"/>
          <w:tab w:pos="2302" w:val="left"/>
        </w:tabs>
        <w:autoSpaceDE w:val="0"/>
        <w:widowControl/>
        <w:spacing w:line="254" w:lineRule="auto" w:before="27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plan and organize teaching and training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in the field of Banking and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students and others in research methodology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idea of promoting knowledge and awareness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subjects relevant to Banking and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;</w:t>
      </w:r>
    </w:p>
    <w:p>
      <w:pPr>
        <w:autoSpaceDN w:val="0"/>
        <w:autoSpaceDE w:val="0"/>
        <w:widowControl/>
        <w:spacing w:line="254" w:lineRule="auto" w:before="27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update the knowledge of its members in the field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Banking and Financial Services to enhance their </w:t>
      </w:r>
      <w:r>
        <w:rPr>
          <w:rFonts w:ascii="Times" w:hAnsi="Times" w:eastAsia="Times"/>
          <w:b w:val="0"/>
          <w:i w:val="0"/>
          <w:color w:val="221F1F"/>
          <w:sz w:val="20"/>
        </w:rPr>
        <w:t>skills and professionalism 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64" w:lineRule="auto" w:before="266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 create a forum at which the members and any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could voice, comment, communicate, discuss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resolve issues of Professional and Academic interests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its members and to assist in the formulation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 policies relating to Banking and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Services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9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9" w:lineRule="auto" w:before="266" w:after="0"/>
        <w:ind w:left="239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fellowship and understanding among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membes to prepare and submit reports on issues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Banking and Financial Services ;</w:t>
      </w:r>
    </w:p>
    <w:p>
      <w:pPr>
        <w:autoSpaceDN w:val="0"/>
        <w:tabs>
          <w:tab w:pos="2096" w:val="left"/>
          <w:tab w:pos="2396" w:val="left"/>
        </w:tabs>
        <w:autoSpaceDE w:val="0"/>
        <w:widowControl/>
        <w:spacing w:line="262" w:lineRule="auto" w:before="290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understanding, co-operation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friendship with other national and international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bodies, entities and institutions which have a common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similar interest ;</w:t>
      </w:r>
    </w:p>
    <w:p>
      <w:pPr>
        <w:autoSpaceDN w:val="0"/>
        <w:tabs>
          <w:tab w:pos="2066" w:val="left"/>
          <w:tab w:pos="2396" w:val="left"/>
        </w:tabs>
        <w:autoSpaceDE w:val="0"/>
        <w:widowControl/>
        <w:spacing w:line="262" w:lineRule="auto" w:before="288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affiliate with any National, Regional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Associations in fields related to Banking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Financial Services and with cognate aims ;</w:t>
      </w:r>
    </w:p>
    <w:p>
      <w:pPr>
        <w:autoSpaceDN w:val="0"/>
        <w:tabs>
          <w:tab w:pos="2096" w:val="left"/>
          <w:tab w:pos="2396" w:val="left"/>
        </w:tabs>
        <w:autoSpaceDE w:val="0"/>
        <w:widowControl/>
        <w:spacing w:line="264" w:lineRule="auto" w:before="28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promote and conduct on its own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 or in collaboration with local or foreign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associations such surveys and studies on Banking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Financial Services in the international sphere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more particularly in Sri Lanka ;</w:t>
      </w:r>
    </w:p>
    <w:p>
      <w:pPr>
        <w:autoSpaceDN w:val="0"/>
        <w:tabs>
          <w:tab w:pos="2396" w:val="left"/>
        </w:tabs>
        <w:autoSpaceDE w:val="0"/>
        <w:widowControl/>
        <w:spacing w:line="254" w:lineRule="auto" w:before="288" w:after="0"/>
        <w:ind w:left="20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safeguard the common interests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profession ; and</w:t>
      </w:r>
    </w:p>
    <w:p>
      <w:pPr>
        <w:autoSpaceDN w:val="0"/>
        <w:tabs>
          <w:tab w:pos="2052" w:val="left"/>
          <w:tab w:pos="2396" w:val="left"/>
        </w:tabs>
        <w:autoSpaceDE w:val="0"/>
        <w:widowControl/>
        <w:spacing w:line="259" w:lineRule="auto" w:before="29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promote and develop healthy banking practices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habits among the public by conducting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educational programes.</w:t>
      </w:r>
    </w:p>
    <w:p>
      <w:pPr>
        <w:autoSpaceDN w:val="0"/>
        <w:autoSpaceDE w:val="0"/>
        <w:widowControl/>
        <w:spacing w:line="262" w:lineRule="auto" w:before="290" w:after="1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objects of the Corporation shall be carried out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manner so as not to create any conflict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 of the Corporation and any work being carried out </w:t>
      </w:r>
      <w:r>
        <w:rPr>
          <w:rFonts w:ascii="Times" w:hAnsi="Times" w:eastAsia="Times"/>
          <w:b w:val="0"/>
          <w:i w:val="0"/>
          <w:color w:val="221F1F"/>
          <w:sz w:val="20"/>
        </w:rPr>
        <w:t>simultaneously by any Ministry or Department of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any Provincial Council.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Subject to the provision of this Act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the Corporation shall have the power to do,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all such acts, as are necessary to achieve </w:t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the Corporation including the power-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60" w:after="1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purchace, rent, construct and renovate lands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buildings which may be required for the purposes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 and to deal with or dispose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as may be deemed expedient with a view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promoting the objects of the Corporation;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hold any property, movable or immovable, which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2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become vested in it by virtue of any purchase,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such property shall be held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 of this Act and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rules of the Corporation made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3, with power to sell, mortgage, lease, exchange,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 and perform or carry out, whether directly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through any officer or agent authorized in that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0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Corporation, all such contracts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or the exercise of the powers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borrow funds or raise funds with or without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securities and to receive grants, gifts or donations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cash or kind:</w:t>
      </w:r>
    </w:p>
    <w:p>
      <w:pPr>
        <w:autoSpaceDN w:val="0"/>
        <w:tabs>
          <w:tab w:pos="2422" w:val="left"/>
          <w:tab w:pos="278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Council shall obtain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Finance in respect of all foreign grants, gifts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Corporation;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bank;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9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that are not immediately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Corporation, in such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Council may determine;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 or any real or personal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with a view to promoting the objects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1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appoint, employ, dismiss or terminate the services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Corporation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exercise disciplinary control over them and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 such salaries, allowances and gratuities as may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determined by the Corporation;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276" w:after="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organize lectures, seminars and conferences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objectives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liaise and co-ordinate with other local and foreign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officers and sevants of the Corporation in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or abroad for the purposes of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7" w:lineRule="auto" w:before="27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do all such other acts as may be considered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necessary, incidental and ancillary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of the Corporation’s objects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under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moneys and property of the Corporation however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derived shall be applied solely towards the promotion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objects of the Corporation and no portion thereof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or transferred directly or indirectly by way of divident,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bonus or profit to the members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  <w:tab w:pos="3466" w:val="left"/>
        </w:tabs>
        <w:autoSpaceDE w:val="0"/>
        <w:widowControl/>
        <w:spacing w:line="245" w:lineRule="auto" w:before="0" w:after="188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 The management, control and administration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provisions of this Act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rule that may be made under section 6, vest in a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Management (hereinafter referred to as “the Council”).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3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first Council of the Corporation shall consist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of the Council of the Association holding office </w:t>
      </w:r>
      <w:r>
        <w:rPr>
          <w:rFonts w:ascii="Times" w:hAnsi="Times" w:eastAsia="Times"/>
          <w:b w:val="0"/>
          <w:i w:val="0"/>
          <w:color w:val="221F1F"/>
          <w:sz w:val="20"/>
        </w:rPr>
        <w:t>on the day preceding the date of commencement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at any general meeting and by the votes of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thirds of the members present and voting, to make rules,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inconsistent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law, for all or any of the following matters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classification of membership, fees payable by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each class of members, admission, withdrawal,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expulsion or resignation of members and for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5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maintaining of a register of members ;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45" w:lineRule="auto" w:before="240" w:after="0"/>
        <w:ind w:left="20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Council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removal from office and the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of the office bearers :</w:t>
      </w:r>
    </w:p>
    <w:p>
      <w:pPr>
        <w:autoSpaceDN w:val="0"/>
        <w:tabs>
          <w:tab w:pos="2422" w:val="left"/>
          <w:tab w:pos="2722" w:val="left"/>
        </w:tabs>
        <w:autoSpaceDE w:val="0"/>
        <w:widowControl/>
        <w:spacing w:line="247" w:lineRule="auto" w:before="228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an office bearer shall hold office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period no longer than three years during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 but shall be eligible to be re-elected.</w:t>
      </w:r>
    </w:p>
    <w:p>
      <w:pPr>
        <w:autoSpaceDN w:val="0"/>
        <w:tabs>
          <w:tab w:pos="2414" w:val="left"/>
          <w:tab w:pos="2422" w:val="left"/>
        </w:tabs>
        <w:autoSpaceDE w:val="0"/>
        <w:widowControl/>
        <w:spacing w:line="245" w:lineRule="auto" w:before="240" w:after="2"/>
        <w:ind w:left="20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appointment, powers, duties and functions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terms and conditions of the various officers, agents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servants of the Corporation 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at the summoning and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 meetings of the Council, the Corporation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any sub-committee thereof, including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quorum therefore and the conduct of 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thereat 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qualification and disqualification for members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2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Council and the Corporation 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182"/>
        <w:ind w:left="229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114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  <w:tr>
        <w:trPr>
          <w:trHeight w:hRule="exact" w:val="255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Corporation for the accomplishment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objects of the Corporation.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made under sub-section (1)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within three months and shall come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into-effect on the date thereof.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76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rules made by the Corporation may be amended,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altered, added to or be rescinded at a like meeting and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like manner as a rule made under sub-section (1)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published in the manner set out in sub-section (2).</w:t>
            </w:r>
          </w:p>
        </w:tc>
      </w:tr>
    </w:tbl>
    <w:p>
      <w:pPr>
        <w:autoSpaceDN w:val="0"/>
        <w:autoSpaceDE w:val="0"/>
        <w:widowControl/>
        <w:spacing w:line="245" w:lineRule="auto" w:before="116" w:after="15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Corporation shall at all the time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the rules of the Corporation made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7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With effect from the date of commencement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Vesting of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property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 of the</w:t>
            </w:r>
          </w:p>
        </w:tc>
      </w:tr>
      <w:tr>
        <w:trPr>
          <w:trHeight w:hRule="exact" w:val="2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property, movable or immovable,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rights, powers, privileges and interests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and all the liabilities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books, accounts and documents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Association,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58" w:after="15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vest absolutely in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0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3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</w:tabs>
              <w:autoSpaceDE w:val="0"/>
              <w:widowControl/>
              <w:spacing w:line="245" w:lineRule="auto" w:before="60" w:after="0"/>
              <w:ind w:left="76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With effect from the date of commencement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without prejudice to the generality of subsection (1)—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due to and subscriptions and fees payable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Association shall be paid to the Corporation 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liabilities of the Association subsisting on the</w:t>
            </w:r>
          </w:p>
        </w:tc>
      </w:tr>
      <w:tr>
        <w:trPr>
          <w:trHeight w:hRule="exact" w:val="468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day immediately preceding the date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commencement of this Act shall be deemed to be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4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the liabilities of the Corporation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  <w:tab w:pos="3466" w:val="left"/>
        </w:tabs>
        <w:autoSpaceDE w:val="0"/>
        <w:widowControl/>
        <w:spacing w:line="245" w:lineRule="auto" w:before="0" w:after="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6" w:after="18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officers and servants of the Association on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the date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of this Act shall be deemed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officers and servants of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contracts and agreements entered into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association and subsisting on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immediately preceding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deemed to be contracts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agreements entered into by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actions and legal proceedings instituted by or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against the Association and pending on the day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preceding the date of commencement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shall be continued and enforced as legal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 instituted by, or against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maintain a register of members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the name, address and other essential details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 shall be inscribed.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4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it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consist of all moneys received by way of gifts,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testamentary dispositions, grants, donations, contributions </w:t>
      </w:r>
      <w:r>
        <w:rPr>
          <w:rFonts w:ascii="Times" w:hAnsi="Times" w:eastAsia="Times"/>
          <w:b w:val="0"/>
          <w:i w:val="0"/>
          <w:color w:val="221F1F"/>
          <w:sz w:val="20"/>
        </w:rPr>
        <w:t>or fees in cash or kind.</w:t>
      </w:r>
    </w:p>
    <w:p>
      <w:pPr>
        <w:autoSpaceDN w:val="0"/>
        <w:autoSpaceDE w:val="0"/>
        <w:widowControl/>
        <w:spacing w:line="235" w:lineRule="auto" w:before="242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All moneys received shall be deposited in the name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Corporation in one or more banks and be invested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suitable manner to achieve the objects of the Corporation as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decided by the Council.</w:t>
      </w:r>
    </w:p>
    <w:p>
      <w:pPr>
        <w:autoSpaceDN w:val="0"/>
        <w:autoSpaceDE w:val="0"/>
        <w:widowControl/>
        <w:spacing w:line="245" w:lineRule="auto" w:before="24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expenditure incurred by the Corporation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performance and discharge of the powers, duties </w:t>
      </w:r>
      <w:r>
        <w:rPr>
          <w:rFonts w:ascii="Times" w:hAnsi="Times" w:eastAsia="Times"/>
          <w:b w:val="0"/>
          <w:i w:val="0"/>
          <w:color w:val="221F1F"/>
          <w:sz w:val="20"/>
        </w:rPr>
        <w:t>and functions of the Corporation shall be paid out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of the  Corporation.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Accounts,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calender year.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Report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562" w:val="left"/>
          <w:tab w:pos="6494" w:val="left"/>
        </w:tabs>
        <w:autoSpaceDE w:val="0"/>
        <w:widowControl/>
        <w:spacing w:line="245" w:lineRule="auto" w:before="0" w:after="0"/>
        <w:ind w:left="229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64" w:lineRule="auto" w:before="2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Corporation.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304" w:after="0"/>
        <w:ind w:left="14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Corporation shall be audited by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qualified auditor as may be determined by the Council.</w:t>
      </w:r>
    </w:p>
    <w:p>
      <w:pPr>
        <w:autoSpaceDN w:val="0"/>
        <w:autoSpaceDE w:val="0"/>
        <w:widowControl/>
        <w:spacing w:line="238" w:lineRule="auto" w:before="30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In this section, “Qualified Auditor” means —</w:t>
      </w:r>
    </w:p>
    <w:p>
      <w:pPr>
        <w:autoSpaceDN w:val="0"/>
        <w:tabs>
          <w:tab w:pos="2482" w:val="left"/>
          <w:tab w:pos="2878" w:val="left"/>
          <w:tab w:pos="2886" w:val="left"/>
        </w:tabs>
        <w:autoSpaceDE w:val="0"/>
        <w:widowControl/>
        <w:spacing w:line="271" w:lineRule="auto" w:before="30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 being a member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possessed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878" w:val="left"/>
          <w:tab w:pos="2886" w:val="left"/>
        </w:tabs>
        <w:autoSpaceDE w:val="0"/>
        <w:widowControl/>
        <w:spacing w:line="257" w:lineRule="auto" w:before="304" w:after="0"/>
        <w:ind w:left="24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partners of which, being a member of the</w:t>
      </w:r>
    </w:p>
    <w:p>
      <w:pPr>
        <w:autoSpaceDN w:val="0"/>
        <w:tabs>
          <w:tab w:pos="2878" w:val="left"/>
        </w:tabs>
        <w:autoSpaceDE w:val="0"/>
        <w:widowControl/>
        <w:spacing w:line="269" w:lineRule="auto" w:before="40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306" w:after="0"/>
        <w:ind w:left="145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Council shall prepare a report of the activities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for each financial year and submit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together with the audited statement of accounts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of the Ministry of the Minister to whom the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Banking is assigned before the expiration of six months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year succeeding the year to which such report relates.</w:t>
      </w:r>
    </w:p>
    <w:p>
      <w:pPr>
        <w:autoSpaceDN w:val="0"/>
        <w:autoSpaceDE w:val="0"/>
        <w:widowControl/>
        <w:spacing w:line="266" w:lineRule="auto" w:before="30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A separate account relating to the foreign and local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moneys received by the Corporation during the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 shall be attached to the report referred to in sub-section </w:t>
      </w:r>
      <w:r>
        <w:rPr>
          <w:rFonts w:ascii="Times" w:hAnsi="Times" w:eastAsia="Times"/>
          <w:b w:val="0"/>
          <w:i w:val="0"/>
          <w:color w:val="221F1F"/>
          <w:sz w:val="20"/>
        </w:rPr>
        <w:t>(5)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  <w:tab w:pos="3466" w:val="left"/>
        </w:tabs>
        <w:autoSpaceDE w:val="0"/>
        <w:widowControl/>
        <w:spacing w:line="245" w:lineRule="auto" w:before="0" w:after="210"/>
        <w:ind w:left="170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Association of Professional Bankers-Sri Lanka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Association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by the Corporation and all debts due to,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Association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subscriptions and contributions payable to the Association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that day shall be paid to the Corporation for the purpose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8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distributed among the members of the Corporation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those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Corporation, and which is or are by the rules thereof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prohibited from distributing any income or property among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or their members. Such institution or institutions shall be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Council at or immediately before the </w:t>
      </w:r>
      <w:r>
        <w:rPr>
          <w:rFonts w:ascii="Times" w:hAnsi="Times" w:eastAsia="Times"/>
          <w:b w:val="0"/>
          <w:i w:val="0"/>
          <w:color w:val="221F1F"/>
          <w:sz w:val="20"/>
        </w:rPr>
        <w:t>dissolution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two of the office bearers as may be duly authorized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  who shall sign their names on the instrument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token of their presence and such signing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independent of the signing of any person as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 of the Corporation shall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 to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the amount of annual subscription payable by </w:t>
      </w:r>
      <w:r>
        <w:rPr>
          <w:rFonts w:ascii="Times" w:hAnsi="Times" w:eastAsia="Times"/>
          <w:b w:val="0"/>
          <w:i w:val="0"/>
          <w:color w:val="221F1F"/>
          <w:sz w:val="20"/>
        </w:rPr>
        <w:t>him to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Saving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 and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others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Association of Professional Bankers-Sri Lanka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8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9088" w:after="0"/>
        <w:ind w:left="0" w:right="333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