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184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4" w:lineRule="exact" w:before="33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88" w:lineRule="exact" w:before="328" w:after="0"/>
        <w:ind w:left="1872" w:right="2016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ASSOCIATION OF PROFESSIONAL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>BANKERS - SRI LANKA (INCORPORATION)</w:t>
      </w:r>
    </w:p>
    <w:p>
      <w:pPr>
        <w:autoSpaceDN w:val="0"/>
        <w:autoSpaceDE w:val="0"/>
        <w:widowControl/>
        <w:spacing w:line="278" w:lineRule="exact" w:before="276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76" w:lineRule="exact" w:before="318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22" w:lineRule="exact" w:before="330" w:after="0"/>
        <w:ind w:left="174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to incorporate the Association of Professional Bankers-Sri Lanka</w:t>
      </w:r>
    </w:p>
    <w:p>
      <w:pPr>
        <w:autoSpaceDN w:val="0"/>
        <w:autoSpaceDE w:val="0"/>
        <w:widowControl/>
        <w:spacing w:line="244" w:lineRule="exact" w:before="278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204" w:after="0"/>
        <w:ind w:left="0" w:right="244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Presented by the Hon. (Prof.) Charitha Herath, M.P.</w:t>
      </w:r>
    </w:p>
    <w:p>
      <w:pPr>
        <w:autoSpaceDN w:val="0"/>
        <w:autoSpaceDE w:val="0"/>
        <w:widowControl/>
        <w:spacing w:line="244" w:lineRule="exact" w:before="0" w:after="0"/>
        <w:ind w:left="0" w:right="349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on 05th of January, 2023</w:t>
      </w:r>
    </w:p>
    <w:p>
      <w:pPr>
        <w:autoSpaceDN w:val="0"/>
        <w:autoSpaceDE w:val="0"/>
        <w:widowControl/>
        <w:spacing w:line="266" w:lineRule="exact" w:before="216" w:after="0"/>
        <w:ind w:left="0" w:right="25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December 26, 2022)</w:t>
      </w:r>
    </w:p>
    <w:p>
      <w:pPr>
        <w:autoSpaceDN w:val="0"/>
        <w:autoSpaceDE w:val="0"/>
        <w:widowControl/>
        <w:spacing w:line="244" w:lineRule="exact" w:before="234" w:after="0"/>
        <w:ind w:left="0" w:right="307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44" w:lineRule="exact" w:before="184" w:after="0"/>
        <w:ind w:left="0" w:right="383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78" w:lineRule="exact" w:before="13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165]</w:t>
      </w:r>
    </w:p>
    <w:p>
      <w:pPr>
        <w:autoSpaceDN w:val="0"/>
        <w:autoSpaceDE w:val="0"/>
        <w:widowControl/>
        <w:spacing w:line="212" w:lineRule="exact" w:before="80" w:after="0"/>
        <w:ind w:left="0" w:right="269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0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78" w:lineRule="exact" w:before="7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25.00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50.00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0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152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Association of Professional Bankers-Sri Lanka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8" w:lineRule="exact" w:before="176" w:after="164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SSOCIATION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ROFESSIONAL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14"/>
        </w:rPr>
        <w:t>ANKERS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-S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8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WHEREAS an Association called and known as the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“Association of Professional Bankers - Sri Lanka” has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heretofore been formed  for the purpose of effectually carrying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and accomplishing all objects and matters connected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said Association  according to the rules agreed to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 members: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WHEREAS the said Association has heretofore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successfully carried out and accomplished the several objects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matters for which it was established, and has applied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incorporated and will be for the public advantage to grant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application: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8" w:lineRule="exact" w:before="184" w:after="16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55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0" w:val="left"/>
              </w:tabs>
              <w:autoSpaceDE w:val="0"/>
              <w:widowControl/>
              <w:spacing w:line="280" w:lineRule="exact" w:before="5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Association of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Professional Bankers - Sri Lanka  (Incorporation)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   of  2023.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3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Incorporation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Association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Professional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Bankers-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</w:t>
            </w:r>
          </w:p>
        </w:tc>
      </w:tr>
      <w:tr>
        <w:trPr>
          <w:trHeight w:hRule="exact" w:val="6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8" w:val="left"/>
              </w:tabs>
              <w:autoSpaceDE w:val="0"/>
              <w:widowControl/>
              <w:spacing w:line="280" w:lineRule="exact" w:before="11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Association of Professional Bankers - Sri Lanka  (hereinafter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 “the Association”) and such other persons who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hereafter be  admitted as members of the Corporation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constituted, shall be a body corporate with perpetual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succession, under the name and style of  the “Association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3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Professional Bankers - Sri Lanka” (hereinafter referred to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 “the Corporation”) and by that name may sue and be sued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all court with full power and  authority to have and to  use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common seal and to change or alter the same at its will and pleasure.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32" w:lineRule="exact" w:before="160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general objects for which the Corporation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 —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44" w:right="144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Association of Professional Bankers-Sri Lanka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</w:tr>
    </w:tbl>
    <w:p>
      <w:pPr>
        <w:autoSpaceDN w:val="0"/>
        <w:autoSpaceDE w:val="0"/>
        <w:widowControl/>
        <w:spacing w:line="252" w:lineRule="exact" w:before="178" w:after="176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undertake, promote and facilitate studies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field of Banking and Financial Services within or </w:t>
      </w:r>
      <w:r>
        <w:rPr>
          <w:rFonts w:ascii="Times" w:hAnsi="Times" w:eastAsia="Times"/>
          <w:b w:val="0"/>
          <w:i w:val="0"/>
          <w:color w:val="221F1F"/>
          <w:sz w:val="20"/>
        </w:rPr>
        <w:t>outside Sri Lanka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15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0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218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6" w:after="0"/>
              <w:ind w:left="562" w:right="12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research and submit proposals to regulatory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authorities on the maintenance and development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sound banking structure;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562" w:right="1256" w:hanging="32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offer prizes and scholarships or any other awards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encouraging studies and research in the field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Banking and Financial Services and allied subjects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etc. ;</w:t>
            </w:r>
          </w:p>
        </w:tc>
      </w:tr>
    </w:tbl>
    <w:p>
      <w:pPr>
        <w:autoSpaceDN w:val="0"/>
        <w:autoSpaceDE w:val="0"/>
        <w:widowControl/>
        <w:spacing w:line="252" w:lineRule="exact" w:before="192" w:after="176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 and promote research in the field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Banking and Financial Services and undertake studies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research projects on contract from government, </w:t>
      </w:r>
      <w:r>
        <w:rPr>
          <w:rFonts w:ascii="Times" w:hAnsi="Times" w:eastAsia="Times"/>
          <w:b w:val="0"/>
          <w:i w:val="0"/>
          <w:color w:val="221F1F"/>
          <w:sz w:val="20"/>
        </w:rPr>
        <w:t>private and international agencies or institutions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15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250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6" w:after="0"/>
              <w:ind w:left="542" w:right="1256" w:hanging="32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plan and organize teaching and training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programmes in the field of Banking and Financial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Services ;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542" w:right="1256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train students and others in research methodology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the idea of promoting knowledge and awareness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subjects relevant to Banking and Financial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Services ;</w:t>
            </w:r>
          </w:p>
        </w:tc>
      </w:tr>
    </w:tbl>
    <w:p>
      <w:pPr>
        <w:autoSpaceDN w:val="0"/>
        <w:autoSpaceDE w:val="0"/>
        <w:widowControl/>
        <w:spacing w:line="252" w:lineRule="exact" w:before="192" w:after="166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update the knowledge of its members in the field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Banking and Financial Services to enhance their </w:t>
      </w:r>
      <w:r>
        <w:rPr>
          <w:rFonts w:ascii="Times" w:hAnsi="Times" w:eastAsia="Times"/>
          <w:b w:val="0"/>
          <w:i w:val="0"/>
          <w:color w:val="221F1F"/>
          <w:sz w:val="20"/>
        </w:rPr>
        <w:t>skills and professionalism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59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022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6" w:after="0"/>
              <w:ind w:left="562" w:right="12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 create a forum at which the members and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could voice, comment, communicate, discuss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resolve issues of Professional and Academic interests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its members and to assist in the formulation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effective policies relating to Banking and Financial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Services 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152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Association of Professional Bankers-Sri Lanka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58" w:lineRule="exact" w:before="176" w:after="190"/>
        <w:ind w:left="2396" w:right="2424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fellowship and understanding among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membes to prepare and submit reports on issues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relating to Banking and Financial Services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373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6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8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5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8" w:after="0"/>
              <w:ind w:left="556" w:right="1202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promote understanding, co-operation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friendship with other national and international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bodies, entities and institutions which have a common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similar interest ;</w:t>
            </w:r>
          </w:p>
          <w:p>
            <w:pPr>
              <w:autoSpaceDN w:val="0"/>
              <w:autoSpaceDE w:val="0"/>
              <w:widowControl/>
              <w:spacing w:line="258" w:lineRule="exact" w:before="258" w:after="0"/>
              <w:ind w:left="556" w:right="1202" w:hanging="33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affiliate with any National, Regional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International Associations in fields related to Banking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Financial Services and with cognate aims ;</w:t>
            </w:r>
          </w:p>
          <w:p>
            <w:pPr>
              <w:autoSpaceDN w:val="0"/>
              <w:autoSpaceDE w:val="0"/>
              <w:widowControl/>
              <w:spacing w:line="258" w:lineRule="exact" w:before="258" w:after="0"/>
              <w:ind w:left="556" w:right="1202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undertake, promote and conduct on its own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initiative or in collaboration with local or foreign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associations such surveys and studies on Banking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Financial Services in the international sphere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more particularly in Sri Lanka ;</w:t>
            </w:r>
          </w:p>
        </w:tc>
      </w:tr>
    </w:tbl>
    <w:p>
      <w:pPr>
        <w:autoSpaceDN w:val="0"/>
        <w:tabs>
          <w:tab w:pos="2396" w:val="left"/>
        </w:tabs>
        <w:autoSpaceDE w:val="0"/>
        <w:widowControl/>
        <w:spacing w:line="260" w:lineRule="exact" w:before="196" w:after="190"/>
        <w:ind w:left="202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and safeguard the common interests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profession 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3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promote and develop healthy banking practices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712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habits among the public by conducting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educational programes.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9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objects of the Corporation shall be carried out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manner so as not to create any conflict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work of the Corporation and any work being carried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simultaneously by any Ministry or Department of Government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any Provincial Council.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4. 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 of this Act and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 the Corporation shall have the power to do,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 and execute all such acts, as are necessary to achieve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Corporation including the power-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22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Association of Professional Bankers-Sri Lanka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30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purchace, rent, construct and renovate lands or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buildings which may be required for the purposes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and to deal with or dispose of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same as may be deemed expedient with a view to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promoting the objects of the Corporation;</w:t>
            </w:r>
          </w:p>
        </w:tc>
      </w:tr>
      <w:tr>
        <w:trPr>
          <w:trHeight w:hRule="exact" w:val="5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7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hold any property, movable or immovable, which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become vested in it by virtue of any purchase,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grant, gift, testamentary disposition or otherwise,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such property shall be held by the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for the purpose of this Act and subject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rules of the Corporation made under section</w:t>
            </w:r>
          </w:p>
        </w:tc>
      </w:tr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9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3, with power to sell, mortgage, lease, exchange, or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otherwise dispose of the same.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into and perform or carry out, whether directly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through any officer or agent authorized in that</w:t>
            </w:r>
          </w:p>
        </w:tc>
      </w:tr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behalf by the Corporation, all such contracts or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agreements as may be necessary for the attainment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objects or the exercise of the powers of the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Corporation;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borrow funds or raise funds with or without</w:t>
            </w:r>
          </w:p>
        </w:tc>
      </w:tr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securities and to receive grants, gifts or donations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cash or kind: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8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that, the Council shall obtain the prior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approval of the Department of External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Resources of the Minister assigned the subject of</w:t>
            </w:r>
          </w:p>
        </w:tc>
      </w:tr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7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Finance in respect of all foreign grants, gifts or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donations made to the Corporation;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make, draw, accept, discount, endorse, negotiate,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buy, sell and issue bills of exchange, cheques,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promissory notes and other negotiable instruments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to open, operate, maintain and close accounts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any bank;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8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7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19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51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23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2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57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Association of Professional Bankers-Sri Lanka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29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invest any funds that are not immediately required</w:t>
            </w:r>
          </w:p>
        </w:tc>
      </w:tr>
      <w:tr>
        <w:trPr>
          <w:trHeight w:hRule="exact" w:val="624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7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the purposes of the Corporation, in such manner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Council may determine;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undertake, accept, execute, perform and</w:t>
            </w:r>
          </w:p>
        </w:tc>
      </w:tr>
      <w:tr>
        <w:trPr>
          <w:trHeight w:hRule="exact" w:val="88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7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administer any lawful trust or any real or personal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property with a view to promoting the 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Corporation;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appoint, employ, dismiss or terminate the services</w:t>
            </w:r>
          </w:p>
        </w:tc>
      </w:tr>
      <w:tr>
        <w:trPr>
          <w:trHeight w:hRule="exact" w:val="112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7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officers and servants of the Corporation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exercise disciplinary control over them and to pay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them such salaries, allowances and gratuities as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determined by the Corporation;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organize lectures, seminars and conferences with</w:t>
            </w:r>
          </w:p>
        </w:tc>
      </w:tr>
      <w:tr>
        <w:trPr>
          <w:trHeight w:hRule="exact" w:val="622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7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view to promoting the objectives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Corporation;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liaise and co-ordinate with other local and foreign</w:t>
            </w:r>
          </w:p>
        </w:tc>
      </w:tr>
      <w:tr>
        <w:trPr>
          <w:trHeight w:hRule="exact" w:val="62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7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institutions having similar objects to that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Corporation; and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train officers and sevants of the Corporation in</w:t>
            </w:r>
          </w:p>
        </w:tc>
      </w:tr>
      <w:tr>
        <w:trPr>
          <w:trHeight w:hRule="exact" w:val="64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0" w:after="0"/>
              <w:ind w:left="7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Lanka or abroad for the purposes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Corporation;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all such other acts as may be considered</w:t>
            </w:r>
          </w:p>
        </w:tc>
      </w:tr>
      <w:tr>
        <w:trPr>
          <w:trHeight w:hRule="exact" w:val="2276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2" w:after="0"/>
              <w:ind w:left="7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necessary, incidental and ancillary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performance of the Corporation’s objects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under this Act.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moneys and property of the Corporation however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derived shall be applied solely towards the promotion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objects of the Corporation and no portion thereof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paid or transferred directly or indirectly by way of divident,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bonus or profit to the members of the Corporation.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8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Association of Professional Bankers-Sri Lanka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676" w:val="left"/>
              </w:tabs>
              <w:autoSpaceDE w:val="0"/>
              <w:widowControl/>
              <w:spacing w:line="230" w:lineRule="exact" w:before="154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 The management, control and administration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Corporation shall, subject to the provisions of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rule that may be made under section 6, vest in a Council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Management (hereinafter referred to as “the Council”).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31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92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8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first Council of the Corporation shall consist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members of the Council of the Association holding office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commencement of this Act.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674" w:val="left"/>
              </w:tabs>
              <w:autoSpaceDE w:val="0"/>
              <w:widowControl/>
              <w:spacing w:line="232" w:lineRule="exact" w:before="158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It shall be lawful for the Corporation, from time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time at any general meeting and by the votes of not less than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two thirds of the members present and voting, to make rules,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 inconsistent with the provisions of this Act or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for all or any of the following matters :—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103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1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0" w:after="0"/>
              <w:ind w:left="100" w:right="56" w:hanging="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classification of membership, fees payable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each class of members, admission, withdrawal,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expulsion or resignation of members and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maintaining of a register of members 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3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0" w:after="0"/>
              <w:ind w:left="100" w:right="56" w:hanging="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election of office bearers of the Council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vacation of or removal from office and the powers,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duties and functions of the office bearers :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802" w:right="56" w:firstLine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 an office bearer shall hold office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a period no longer than three years during 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term but shall be eligible to be re-elected.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8" w:after="0"/>
              <w:ind w:left="100" w:right="56" w:hanging="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appointment, powers, duties and functions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terms and conditions of the various officers, agents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servants of the Corporation 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5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8" w:after="0"/>
              <w:ind w:left="100" w:right="56" w:hanging="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procedure to be followed at the summoning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holding of meetings of the Council, the Corporation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any sub-committee thereof, including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quorum therefore and the conduct of business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thereat 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1804"/>
            <w:vMerge/>
            <w:tcBorders/>
          </w:tcPr>
          <w:p/>
        </w:tc>
        <w:tc>
          <w:tcPr>
            <w:tcW w:type="dxa" w:w="7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2" w:after="0"/>
              <w:ind w:left="100" w:right="0" w:hanging="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qualification and disqualification for members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Council and the Corporation ; and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18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10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57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Association of Professional Bankers-Sri Lanka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29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</w:tr>
      <w:tr>
        <w:trPr>
          <w:trHeight w:hRule="exact" w:val="90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4" w:after="0"/>
              <w:ind w:left="116" w:right="1202" w:hanging="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administration and management of the property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Corporation for the accomplishment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objects of the Corporation.</w:t>
            </w:r>
          </w:p>
        </w:tc>
      </w:tr>
      <w:tr>
        <w:trPr>
          <w:trHeight w:hRule="exact" w:val="2028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2" w:after="0"/>
              <w:ind w:left="76" w:right="120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rules made under sub-section (1)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published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within three months and shall come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into-effect on the date thereof.</w:t>
            </w:r>
          </w:p>
          <w:p>
            <w:pPr>
              <w:autoSpaceDN w:val="0"/>
              <w:autoSpaceDE w:val="0"/>
              <w:widowControl/>
              <w:spacing w:line="222" w:lineRule="exact" w:before="222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rules made by the Corporation may be amended,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altered, added to or be rescinded at a like meeting and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like manner as a rule made under sub-section (1)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published in the manner set out in sub-section (2).</w:t>
            </w:r>
          </w:p>
        </w:tc>
      </w:tr>
    </w:tbl>
    <w:p>
      <w:pPr>
        <w:autoSpaceDN w:val="0"/>
        <w:autoSpaceDE w:val="0"/>
        <w:widowControl/>
        <w:spacing w:line="222" w:lineRule="exact" w:before="120" w:after="11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members of the Corporation shall at all the time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subject to the rules of the Corporation made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8" w:val="left"/>
              </w:tabs>
              <w:autoSpaceDE w:val="0"/>
              <w:widowControl/>
              <w:spacing w:line="278" w:lineRule="exact" w:before="58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With effect from the date of commencement of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Vesting of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property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 of the</w:t>
            </w:r>
          </w:p>
        </w:tc>
      </w:tr>
      <w:tr>
        <w:trPr>
          <w:trHeight w:hRule="exact" w:val="19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property, movable or immovable,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Association ;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Association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88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2" w:after="0"/>
              <w:ind w:left="96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rights, powers, privileges and interests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Association and all the liabilities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Association 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4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books, accounts and documents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Association,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18" w:after="11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vest absolutely in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1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30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</w:tabs>
              <w:autoSpaceDE w:val="0"/>
              <w:widowControl/>
              <w:spacing w:line="220" w:lineRule="exact" w:before="106" w:after="0"/>
              <w:ind w:left="76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With effect from the date of commencement of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without prejudice to the generality of subsection (1)—</w:t>
            </w:r>
          </w:p>
        </w:tc>
      </w:tr>
      <w:tr>
        <w:trPr>
          <w:trHeight w:hRule="exact" w:val="6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50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debts due to and subscriptions and fees payable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Association shall be paid to the Corporation ;</w:t>
            </w:r>
          </w:p>
        </w:tc>
      </w:tr>
      <w:tr>
        <w:trPr>
          <w:trHeight w:hRule="exact" w:val="794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8" w:after="0"/>
              <w:ind w:left="9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liabilities of the Association subsisting 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day immediately preceding the date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commencement of this Act shall be deemed to be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the liabilities of the Corporation 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4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98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Association of Professional Bankers-Sri Lanka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501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officers and servants of the Association on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32" w:after="0"/>
              <w:ind w:left="78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day immediately preceding the date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commencement of this Act shall be deemed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 and servants of the Corporation 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0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2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contracts and agreements entered into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purposes of the association and subsisting 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day immediately preceding date of commencement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this Act shall be deemed to be contracts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agreements entered into by the Corporation 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2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6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actions and legal proceedings instituted by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against the Association and pending on the day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preceding the date of commencement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this Act shall be continued and enforced as legal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proceedings instituted by, or against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3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6" w:val="left"/>
              </w:tabs>
              <w:autoSpaceDE w:val="0"/>
              <w:widowControl/>
              <w:spacing w:line="280" w:lineRule="exact" w:before="98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Council shall maintain a register of members in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the name, address and other essential details of the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shall be inscribed.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6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  <w:tab w:pos="782" w:val="left"/>
              </w:tabs>
              <w:autoSpaceDE w:val="0"/>
              <w:widowControl/>
              <w:spacing w:line="230" w:lineRule="exact" w:before="154" w:after="0"/>
              <w:ind w:left="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Corporation shall have its own fund and 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consist of all moneys received by way of gifts,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testamentary dispositions, grants, donations, contributions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fees in cash or kind.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90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Corportion</w:t>
            </w:r>
          </w:p>
        </w:tc>
      </w:tr>
      <w:tr>
        <w:trPr>
          <w:trHeight w:hRule="exact" w:val="118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0" w:after="0"/>
              <w:ind w:left="6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All moneys received shall be deposited in the name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Corporation in one or more banks and be invested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suitable manner to achieve the objects of the Corporation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decided by the Council.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528" w:after="0"/>
              <w:ind w:left="8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Audit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Annual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  <w:tr>
        <w:trPr>
          <w:trHeight w:hRule="exact" w:val="2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6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All expenditure incurred by the Corporation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exercise, performance and discharge of the powers, duties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functions of the Corporation shall be paid out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 of the  Corporation.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3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22" w:lineRule="exact" w:before="158" w:after="0"/>
              <w:ind w:left="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financial year of the Corporation shall be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calender year.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152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Association of Professional Bankers-Sri Lanka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68" w:lineRule="exact" w:before="170" w:after="20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65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8" w:val="left"/>
              </w:tabs>
              <w:autoSpaceDE w:val="0"/>
              <w:widowControl/>
              <w:spacing w:line="266" w:lineRule="exact" w:before="60" w:after="0"/>
              <w:ind w:left="11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accounts of the Corporation shall be audited by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qualified auditor as may be determined by the Council.</w:t>
            </w:r>
          </w:p>
        </w:tc>
      </w:tr>
    </w:tbl>
    <w:p>
      <w:pPr>
        <w:autoSpaceDN w:val="0"/>
        <w:autoSpaceDE w:val="0"/>
        <w:widowControl/>
        <w:spacing w:line="268" w:lineRule="exact" w:before="206" w:after="20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In this section, “Qualified Auditor” means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3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3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05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 who being a member of the</w:t>
            </w:r>
          </w:p>
        </w:tc>
      </w:tr>
      <w:tr>
        <w:trPr>
          <w:trHeight w:hRule="exact" w:val="1452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Institute of Chartered Accountants of Sri Lanka,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of any other institute established by law,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possessed a certificate to practice as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Accountant issued by  the Council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institute; or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 of Accountants each of the resident</w:t>
            </w:r>
          </w:p>
        </w:tc>
      </w:tr>
      <w:tr>
        <w:trPr>
          <w:trHeight w:hRule="exact" w:val="3518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partners of which, being a member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Institute of Chartered Accountants of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of any other institute established by law,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possesses a certificate to practice as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Accountant issued by the Council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institute.</w:t>
            </w:r>
          </w:p>
          <w:p>
            <w:pPr>
              <w:autoSpaceDN w:val="0"/>
              <w:autoSpaceDE w:val="0"/>
              <w:widowControl/>
              <w:spacing w:line="266" w:lineRule="exact" w:before="266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The Council shall prepare a report of the activities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Corporation for each financial year and submit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report together with the audited statement of accounts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Secretary of the Ministry of the Minister to whom the subject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Banking is assigned before the expiration of six months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year succeeding the year to which such report relates.</w:t>
            </w:r>
          </w:p>
        </w:tc>
      </w:tr>
    </w:tbl>
    <w:p>
      <w:pPr>
        <w:autoSpaceDN w:val="0"/>
        <w:autoSpaceDE w:val="0"/>
        <w:widowControl/>
        <w:spacing w:line="266" w:lineRule="exact" w:before="20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A separate account relating to the foreign and local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moneys received by the Corporation during the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shall be attached to the report referred to in sub-section </w:t>
      </w: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8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Association of Professional Bankers-Sri Lanka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81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Debts due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payable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Association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  <w:tab w:pos="756" w:val="left"/>
              </w:tabs>
              <w:autoSpaceDE w:val="0"/>
              <w:widowControl/>
              <w:spacing w:line="234" w:lineRule="exact" w:before="170" w:after="0"/>
              <w:ind w:left="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debts and liabilities of the Association existing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the day preceding the date of commencemt of this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paid by the Corporation and all debts due to,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subscriptions and contributions payable to the Association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that day shall be paid to the Corporation for the purpose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4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  <w:tab w:pos="762" w:val="left"/>
              </w:tabs>
              <w:autoSpaceDE w:val="0"/>
              <w:widowControl/>
              <w:spacing w:line="236" w:lineRule="exact" w:before="162" w:after="0"/>
              <w:ind w:left="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If upon the dissolution of the Corporation there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remains after the satisfaction of all its debts and liabilities,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property whatsoever, such property shall not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distributed among the members of the Corporation but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given or transferred to some other institution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institutions having objects similar to those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Corporation, and which is or are by the rules thereof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prohibited from distributing any income or property among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its or their members. Such institution or institutions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determined by the Council at or immediately before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dissolution of the Corporation.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10" w:after="0"/>
              <w:ind w:left="6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remaining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129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5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  <w:tab w:pos="756" w:val="left"/>
              </w:tabs>
              <w:autoSpaceDE w:val="0"/>
              <w:widowControl/>
              <w:spacing w:line="234" w:lineRule="exact" w:before="156" w:after="0"/>
              <w:ind w:left="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seal of the Corporation shall not be affixed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instrument whatsoever, except in the presence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two of the office bearers as may be duly authorized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Council  who shall sign their names on the instrument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token of their presence and such signing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independent of the signing of any person as witness.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90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40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  <w:tab w:pos="754" w:val="left"/>
              </w:tabs>
              <w:autoSpaceDE w:val="0"/>
              <w:widowControl/>
              <w:spacing w:line="234" w:lineRule="exact" w:before="146" w:after="0"/>
              <w:ind w:left="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 member  of the Corporation shall for the purpose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discharging the debts and liabilities of the Corporation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any other purpose to be liable to make any contribution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exceeding the amount of annual subscription payable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him to the Corporation.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66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Limitation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liability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34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  <w:tab w:pos="758" w:val="left"/>
              </w:tabs>
              <w:autoSpaceDE w:val="0"/>
              <w:widowControl/>
              <w:spacing w:line="232" w:lineRule="exact" w:before="164" w:after="0"/>
              <w:ind w:left="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Nothing in this Act contained shall prejudice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affect the rights of the Republic or of any body politic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the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78" w:lineRule="exact" w:before="82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the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2"/>
        <w:ind w:left="0" w:right="0"/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0.0" w:type="dxa"/>
      </w:tblPr>
      <w:tblGrid>
        <w:gridCol w:w="4510"/>
        <w:gridCol w:w="4510"/>
      </w:tblGrid>
      <w:tr>
        <w:trPr>
          <w:trHeight w:hRule="exact" w:val="9612"/>
        </w:trPr>
        <w:tc>
          <w:tcPr>
            <w:tcW w:type="dxa" w:w="481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72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Association of Professional Bankers-Sri Lanka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(Incorporation)</w:t>
            </w:r>
          </w:p>
        </w:tc>
        <w:tc>
          <w:tcPr>
            <w:tcW w:type="dxa" w:w="148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150" w:lineRule="exact" w:before="14" w:after="0"/>
        <w:ind w:left="0" w:right="333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