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13,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17.01.2023)</w:t>
      </w:r>
    </w:p>
    <w:p>
      <w:pPr>
        <w:autoSpaceDN w:val="0"/>
        <w:autoSpaceDE w:val="0"/>
        <w:widowControl/>
        <w:spacing w:line="240" w:lineRule="auto" w:before="28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7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INTERNATIONAL INSTITUTE OF THERAVADHA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280" w:after="0"/>
        <w:ind w:left="0" w:right="351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4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incorporate the International Institute of Theravadha</w:t>
      </w:r>
    </w:p>
    <w:p>
      <w:pPr>
        <w:autoSpaceDN w:val="0"/>
        <w:autoSpaceDE w:val="0"/>
        <w:widowControl/>
        <w:spacing w:line="245" w:lineRule="auto" w:before="334" w:after="0"/>
        <w:ind w:left="1584" w:right="144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 Hon. Maithreepala Sirisena,  M.P. for </w:t>
      </w:r>
      <w:r>
        <w:rPr>
          <w:rFonts w:ascii="Times" w:hAnsi="Times" w:eastAsia="Times"/>
          <w:b w:val="0"/>
          <w:i/>
          <w:color w:val="221F1F"/>
          <w:sz w:val="20"/>
        </w:rPr>
        <w:t>Polonnaruwa District</w:t>
      </w:r>
    </w:p>
    <w:p>
      <w:pPr>
        <w:autoSpaceDN w:val="0"/>
        <w:autoSpaceDE w:val="0"/>
        <w:widowControl/>
        <w:spacing w:line="245" w:lineRule="auto" w:before="11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5" w:lineRule="auto" w:before="248" w:after="182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HERAVADHA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an institute called and known as the “International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Theravadha” has heretofore been formed  in Sri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effectually carrying out its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said Institute  according to the rules agreed to by its members:</w:t>
      </w:r>
    </w:p>
    <w:p>
      <w:pPr>
        <w:autoSpaceDN w:val="0"/>
        <w:autoSpaceDE w:val="0"/>
        <w:widowControl/>
        <w:spacing w:line="245" w:lineRule="auto" w:before="23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will be expedient to grant the application: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40" w:after="182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International Institute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Theravadha (Incorporation) Act, No.   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Institute of Theravadha  (hereinafter referred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 “Institute”) or shall hereafter be  admitted as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Theravadha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constituted, shall be a body corporate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45" w:lineRule="auto" w:before="4" w:after="18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succession, under the name and style of  the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Institute of Theravadha”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 “body corporate”) and by that name may sue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sued, in all Courts with full power and  authority to have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to 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body corporate shall operates exclusively as a not-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profit Organization and it is solely for the benefit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operates as a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and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  <w:tr>
        <w:trPr>
          <w:trHeight w:hRule="exact" w:val="23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train Buddhist monks and lay devotes to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enriched with doctrinal knowledge and knowledge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0" w:lineRule="auto" w:before="256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meditation that is adequate to attain the ultimate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liberation according to Buddhist teachings,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Nibb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na alone;</w:t>
      </w:r>
    </w:p>
    <w:p>
      <w:pPr>
        <w:autoSpaceDN w:val="0"/>
        <w:autoSpaceDE w:val="0"/>
        <w:widowControl/>
        <w:spacing w:line="235" w:lineRule="auto" w:before="266" w:after="1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train Buddhist monks and lay devotes to be capable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guiding others to attain the ultimate liberation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Buddhist teachings, the Nibb</w:t>
            </w:r>
            <w:r>
              <w:rPr>
                <w:rFonts w:ascii="Times" w:hAnsi="Times" w:eastAsia="Times"/>
                <w:b w:val="0"/>
                <w:i w:val="0"/>
                <w:strike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na;</w:t>
            </w:r>
          </w:p>
        </w:tc>
      </w:tr>
    </w:tbl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Buddhist monks to be capable in 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formal acts of discipline (vinayakammas), according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Theravadha tradition, in order to sustain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sana;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publish and translate books and reading materials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the Theravadha teaching;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and use the missionaries in order to propagate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dhamma expounded by the Buddha locally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 giving due respect to the prevailing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and cultural values; and</w:t>
      </w:r>
    </w:p>
    <w:p>
      <w:pPr>
        <w:autoSpaceDN w:val="0"/>
        <w:autoSpaceDE w:val="0"/>
        <w:widowControl/>
        <w:spacing w:line="250" w:lineRule="auto" w:before="264" w:after="19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exercise such other things deem fit to achieve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above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decided by the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22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affairs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be carried out by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executives (hereinafter referred to as “the executive board”)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such number of office bearers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rules made under section 12.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6" w:val="left"/>
          <w:tab w:pos="6494" w:val="left"/>
        </w:tabs>
        <w:autoSpaceDE w:val="0"/>
        <w:widowControl/>
        <w:spacing w:line="245" w:lineRule="auto" w:before="0" w:after="0"/>
        <w:ind w:left="26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5" w:lineRule="auto" w:before="244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executive of the foundation that holds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until the first Board is appointed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executive board of the body corporate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executive board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for a period of six years and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bearer, shall be eligible for re-appointment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re-election after lapse of the said period of six years.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the event of a vacancy occurring due to the death,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resignation,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bearer, the Board shall having regard to the rules of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, elect or appoint a person to fill such vacancy.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p>
      <w:pPr>
        <w:autoSpaceDN w:val="0"/>
        <w:autoSpaceDE w:val="0"/>
        <w:widowControl/>
        <w:spacing w:line="245" w:lineRule="auto" w:before="224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person elected as the chair of the executive board,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eligible to be elected more than two times as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chair, subject to maximum of twelve years period of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Assembly of the body corporate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Supreme board and it shall consists of all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assembly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11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duty of the General Assembly shall be–</w:t>
      </w:r>
    </w:p>
    <w:p>
      <w:pPr>
        <w:autoSpaceDN w:val="0"/>
        <w:autoSpaceDE w:val="0"/>
        <w:widowControl/>
        <w:spacing w:line="245" w:lineRule="auto" w:before="230" w:after="0"/>
        <w:ind w:left="275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elect the executive board of the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rules of the body</w:t>
      </w:r>
    </w:p>
    <w:p>
      <w:pPr>
        <w:autoSpaceDN w:val="0"/>
        <w:tabs>
          <w:tab w:pos="2758" w:val="left"/>
        </w:tabs>
        <w:autoSpaceDE w:val="0"/>
        <w:widowControl/>
        <w:spacing w:line="274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194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decision with regard to relocating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head office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54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decision in order to dissolve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35" w:lineRule="auto" w:before="24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make and amend rules of the body corporate;</w:t>
      </w:r>
    </w:p>
    <w:p>
      <w:pPr>
        <w:autoSpaceDN w:val="0"/>
        <w:autoSpaceDE w:val="0"/>
        <w:widowControl/>
        <w:spacing w:line="235" w:lineRule="auto" w:before="24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make procedures of the general assembly by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body corporate;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0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 executive board in order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the executive affairs of the body corporate;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0" w:after="17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elect the members of the executive board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General assembly by an election;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 by rules, the composition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board, the sub-committees coming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such board, their functions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appointments of the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sub-committees.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body called as Executive board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the executive affairs of the body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duty of the Executive board  shall be–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make decisions with regard to entering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agreements locally and internationally on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45" w:lineRule="auto" w:before="170" w:after="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exercise all the matters entrusted by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Assembly;</w:t>
      </w:r>
    </w:p>
    <w:p>
      <w:pPr>
        <w:autoSpaceDN w:val="0"/>
        <w:autoSpaceDE w:val="0"/>
        <w:widowControl/>
        <w:spacing w:line="245" w:lineRule="auto" w:before="230" w:after="0"/>
        <w:ind w:left="266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permission the relevant members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execute actions taken by the body corporate in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achieving its general objectives; and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06" w:after="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activities relevant to achieve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objectives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Members of the Executive board should be elected by </w:t>
      </w:r>
      <w:r>
        <w:rPr>
          <w:rFonts w:ascii="Times" w:hAnsi="Times" w:eastAsia="Times"/>
          <w:b w:val="0"/>
          <w:i w:val="0"/>
          <w:color w:val="221F1F"/>
          <w:sz w:val="20"/>
        </w:rPr>
        <w:t>an election in the General assembly.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0"/>
        <w:ind w:left="0" w:right="41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5" w:lineRule="auto" w:before="238" w:after="1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To make by rules, the composition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the sub-committees coming under such board,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qualifications and appointments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such sub-committees.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body established and known as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Senate</w:t>
            </w:r>
          </w:p>
        </w:tc>
      </w:tr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Senate Council constituted with Tutor monks and Student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 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monks of the body corporate to discuss issues related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Dhamma and Vinaya and decisions taken by the Executive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and to forward comments, suggestions, proposals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 regarding such issues to the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assembly and the executive board.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46" w:after="1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Senate Council is responsible to make its own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for its own functional activities.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General Assembly shall legislate with reard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of the Senate Council. Such legislation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after the adoption of the legislation by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Assembly.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0" w:after="14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Senate Council shall be solely accountable only </w:t>
      </w:r>
      <w:r>
        <w:rPr>
          <w:rFonts w:ascii="Times" w:hAnsi="Times" w:eastAsia="Times"/>
          <w:b w:val="0"/>
          <w:i w:val="0"/>
          <w:color w:val="221F1F"/>
          <w:sz w:val="20"/>
        </w:rPr>
        <w:t>to the General 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body established and known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Disciplinary</w:t>
            </w:r>
          </w:p>
        </w:tc>
      </w:tr>
      <w:tr>
        <w:trPr>
          <w:trHeight w:hRule="exact" w:val="23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Disciplinary Committee to look into all the disciplinary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 of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pertaining to all the members and trained and trainees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Disciplinary Committee shall be solely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 only to the General Assembly.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4" w:after="1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Disciplinary Committee shall legislate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the Disciplinary Committee. Such legislation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effective after the adoption of the legislation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6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8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When a member of the body corporate or the Senate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has made a complaint against a decision taken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Executive Board to the Disciplinary Committee,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Disciplinary Committee has the power to withhold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board from implementing such a decision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found, after fair inquire in accordance with the Dhamma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5" w:lineRule="auto" w:before="24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Vinaya, that the decision taken by the executive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inconsistent with the Dhamma and Vinaya,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 of the body corporate or any other written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Disciplinary Committee while deciding,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Dhamma and Vinaya, on disciplinary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all the members and trained and trainees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and decisions taken by the executive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rely on Dhamma and Vinaya found in the Tripitaka,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Commentaries (Atthakatha) and sub-commentaries (Tika)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were authenticated in six ancient Buddhist councils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(Dhamma-Sangayana) accepted within the Theravadha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tradition, and well preserved in Burma, Thailand, Laos,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Cambodia and Sri Lanka and European countries and </w:t>
      </w:r>
      <w:r>
        <w:rPr>
          <w:rFonts w:ascii="Times" w:hAnsi="Times" w:eastAsia="Times"/>
          <w:b w:val="0"/>
          <w:i w:val="0"/>
          <w:color w:val="221F1F"/>
          <w:sz w:val="20"/>
        </w:rPr>
        <w:t>Dhamma Vinaya Books written according to the Theravadha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teachings without contradiciting them (Theravadha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teachings) and ideas of renowned erudite scholars that are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4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 contradicting with the Theravadha teachings.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power—</w:t>
      </w:r>
    </w:p>
    <w:p>
      <w:pPr>
        <w:autoSpaceDN w:val="0"/>
        <w:autoSpaceDE w:val="0"/>
        <w:widowControl/>
        <w:spacing w:line="245" w:lineRule="auto" w:before="230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purpose of the body corporate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502" w:val="left"/>
        </w:tabs>
        <w:autoSpaceDE w:val="0"/>
        <w:widowControl/>
        <w:spacing w:line="247" w:lineRule="auto" w:before="24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6" w:val="left"/>
          <w:tab w:pos="6494" w:val="left"/>
        </w:tabs>
        <w:autoSpaceDE w:val="0"/>
        <w:widowControl/>
        <w:spacing w:line="245" w:lineRule="auto" w:before="0" w:after="0"/>
        <w:ind w:left="26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2" w:lineRule="auto" w:before="256" w:after="0"/>
        <w:ind w:left="23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0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may determine;</w:t>
      </w:r>
    </w:p>
    <w:p>
      <w:pPr>
        <w:autoSpaceDN w:val="0"/>
        <w:autoSpaceDE w:val="0"/>
        <w:widowControl/>
        <w:spacing w:line="247" w:lineRule="auto" w:before="264" w:after="10"/>
        <w:ind w:left="2398" w:right="2304" w:hanging="33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any lawful trust or any real or personal property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view to promoting the objects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</w:tbl>
    <w:p>
      <w:pPr>
        <w:autoSpaceDN w:val="0"/>
        <w:tabs>
          <w:tab w:pos="2098" w:val="left"/>
          <w:tab w:pos="2398" w:val="left"/>
        </w:tabs>
        <w:autoSpaceDE w:val="0"/>
        <w:widowControl/>
        <w:spacing w:line="252" w:lineRule="auto" w:before="20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 and</w:t>
      </w:r>
    </w:p>
    <w:p>
      <w:pPr>
        <w:autoSpaceDN w:val="0"/>
        <w:autoSpaceDE w:val="0"/>
        <w:widowControl/>
        <w:spacing w:line="250" w:lineRule="auto" w:before="266" w:after="20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board, senate council and disciplinary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and qualifications and 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members of such institutes;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vacation of or removal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of office bearers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board, senate council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committee, and the powers,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the office bearers;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executive board,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its sub-committees thereof, notices and agenda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meetings, the quorum and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the legislation of the body corporate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 the existing legislation.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45" w:lineRule="auto" w:before="25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shall at all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5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Government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52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“Executive board” shall have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make rules within six years from the date of 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first executive board held by the general assembly.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6" w:val="left"/>
          <w:tab w:pos="6494" w:val="left"/>
        </w:tabs>
        <w:autoSpaceDE w:val="0"/>
        <w:widowControl/>
        <w:spacing w:line="245" w:lineRule="auto" w:before="0" w:after="182"/>
        <w:ind w:left="26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6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deposited in one or more Banks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There shall be paid out of the Fund, all sums of money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in the exercise, performance and discharge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power, duties and functions under the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45" w:lineRule="auto" w:before="25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a qualified auditor appointed by Auditor-General in terms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Artilce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2878" w:val="left"/>
          <w:tab w:pos="2886" w:val="left"/>
        </w:tabs>
        <w:autoSpaceDE w:val="0"/>
        <w:widowControl/>
        <w:spacing w:line="245" w:lineRule="auto" w:before="252" w:after="6"/>
        <w:ind w:left="2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partners, of which being a member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7" w:lineRule="auto" w:before="272" w:after="192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Parliament before the expiration of six months of the </w:t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19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 for the purposes of this Act, and subject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19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 made under section 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6" w:val="left"/>
          <w:tab w:pos="6392" w:val="left"/>
        </w:tabs>
        <w:autoSpaceDE w:val="0"/>
        <w:widowControl/>
        <w:spacing w:line="245" w:lineRule="auto" w:before="0" w:after="212"/>
        <w:ind w:left="26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instrument whatsoever, except in the presence of 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who shall sign their names to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0" w:lineRule="auto" w:before="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47" w:lineRule="auto" w:before="242" w:after="19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47" w:lineRule="auto" w:before="252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8" w:lineRule="auto" w:before="89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